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8E72F3" w14:textId="4799D602" w:rsidR="00D309CC" w:rsidRDefault="00D309CC" w:rsidP="00D46431">
      <w:pPr>
        <w:pStyle w:val="CH"/>
      </w:pPr>
      <w:bookmarkStart w:id="0" w:name="historyclause"/>
      <w:r w:rsidRPr="006073EA">
        <w:t>3GPP RAN</w:t>
      </w:r>
      <w:r w:rsidR="00CF20E3" w:rsidRPr="006073EA">
        <w:t xml:space="preserve"> </w:t>
      </w:r>
      <w:r w:rsidRPr="006073EA">
        <w:t>WG</w:t>
      </w:r>
      <w:r w:rsidR="006073EA">
        <w:t>4</w:t>
      </w:r>
      <w:r w:rsidRPr="006073EA">
        <w:t xml:space="preserve"> Meeting #</w:t>
      </w:r>
      <w:r w:rsidR="006073EA">
        <w:t>9</w:t>
      </w:r>
      <w:r w:rsidR="00121103">
        <w:t>8</w:t>
      </w:r>
      <w:r w:rsidR="00A14D3F">
        <w:t>-e</w:t>
      </w:r>
      <w:r>
        <w:tab/>
      </w:r>
      <w:r w:rsidR="00D46431">
        <w:tab/>
      </w:r>
      <w:r w:rsidR="00ED21B2" w:rsidRPr="00ED21B2">
        <w:t>R4-2102609</w:t>
      </w:r>
    </w:p>
    <w:p w14:paraId="50DC9730" w14:textId="352CC3E9" w:rsidR="00D309CC" w:rsidRPr="00FD166F" w:rsidRDefault="00A14D3F" w:rsidP="00D46431">
      <w:pPr>
        <w:pStyle w:val="CH"/>
        <w:tabs>
          <w:tab w:val="clear" w:pos="7920"/>
        </w:tabs>
        <w:rPr>
          <w:b w:val="0"/>
        </w:rPr>
      </w:pPr>
      <w:r>
        <w:t>Online</w:t>
      </w:r>
      <w:r w:rsidR="00EC4847" w:rsidRPr="00EC4847">
        <w:t xml:space="preserve">, </w:t>
      </w:r>
      <w:r w:rsidR="00121103">
        <w:t>Jan.</w:t>
      </w:r>
      <w:r w:rsidRPr="00A14D3F">
        <w:t xml:space="preserve"> 2</w:t>
      </w:r>
      <w:r w:rsidR="00121103">
        <w:t>5</w:t>
      </w:r>
      <w:r w:rsidR="00121103">
        <w:rPr>
          <w:vertAlign w:val="superscript"/>
        </w:rPr>
        <w:t>th</w:t>
      </w:r>
      <w:r w:rsidRPr="00A14D3F">
        <w:t xml:space="preserve"> – </w:t>
      </w:r>
      <w:r w:rsidR="00121103">
        <w:t>Feb. 05</w:t>
      </w:r>
      <w:r w:rsidRPr="00A14D3F">
        <w:rPr>
          <w:vertAlign w:val="superscript"/>
        </w:rPr>
        <w:t>th</w:t>
      </w:r>
      <w:r w:rsidRPr="00A14D3F">
        <w:t>, 202</w:t>
      </w:r>
      <w:r w:rsidR="00121103">
        <w:t>1</w:t>
      </w:r>
    </w:p>
    <w:p w14:paraId="39A0EE25" w14:textId="77777777" w:rsidR="00D309CC" w:rsidRDefault="00D309CC" w:rsidP="00D309CC">
      <w:pPr>
        <w:tabs>
          <w:tab w:val="left" w:pos="2160"/>
        </w:tabs>
        <w:rPr>
          <w:rFonts w:ascii="Arial" w:hAnsi="Arial" w:cs="Arial"/>
          <w:b/>
        </w:rPr>
      </w:pPr>
    </w:p>
    <w:p w14:paraId="6DDCE159" w14:textId="0FF5F8E5" w:rsidR="00D309CC" w:rsidRPr="0008103A" w:rsidRDefault="00D309CC" w:rsidP="00D309CC">
      <w:pPr>
        <w:pStyle w:val="CH"/>
        <w:rPr>
          <w:b w:val="0"/>
        </w:rPr>
      </w:pPr>
      <w:r w:rsidRPr="0008103A">
        <w:t>Agenda item:</w:t>
      </w:r>
      <w:r>
        <w:tab/>
      </w:r>
      <w:r w:rsidR="0041733B">
        <w:t>12</w:t>
      </w:r>
      <w:r w:rsidR="008A3527">
        <w:t>.</w:t>
      </w:r>
      <w:r w:rsidR="00121103">
        <w:t>2.1.1</w:t>
      </w:r>
    </w:p>
    <w:p w14:paraId="4DBE005A" w14:textId="094956D4" w:rsidR="00D309CC" w:rsidRPr="0008103A" w:rsidRDefault="00D309CC" w:rsidP="00D309CC">
      <w:pPr>
        <w:pStyle w:val="CH"/>
        <w:rPr>
          <w:b w:val="0"/>
        </w:rPr>
      </w:pPr>
      <w:r>
        <w:t>Source:</w:t>
      </w:r>
      <w:r>
        <w:tab/>
        <w:t>Apple</w:t>
      </w:r>
    </w:p>
    <w:p w14:paraId="0D2061A1" w14:textId="4A85DA15" w:rsidR="00D309CC" w:rsidRDefault="00D309CC" w:rsidP="00D309CC">
      <w:pPr>
        <w:pStyle w:val="CH"/>
      </w:pPr>
      <w:r w:rsidRPr="0008103A">
        <w:t>Title:</w:t>
      </w:r>
      <w:r w:rsidRPr="0008103A">
        <w:tab/>
      </w:r>
      <w:r w:rsidR="0041733B">
        <w:t xml:space="preserve">Views on </w:t>
      </w:r>
      <w:r w:rsidR="00121103">
        <w:t>UL TPC for NR in 60 GHz and above frequency ranges</w:t>
      </w:r>
      <w:r w:rsidR="00AC0150">
        <w:t xml:space="preserve"> </w:t>
      </w:r>
    </w:p>
    <w:p w14:paraId="052B1E0C" w14:textId="58E7091D" w:rsidR="00104BC6" w:rsidRDefault="00104BC6" w:rsidP="00D309CC">
      <w:pPr>
        <w:pStyle w:val="CH"/>
      </w:pPr>
      <w:r>
        <w:t>WI/SI:</w:t>
      </w:r>
      <w:r>
        <w:tab/>
      </w:r>
      <w:r w:rsidR="00121103" w:rsidRPr="00121103">
        <w:t>FS_NR_52_to_71GHz</w:t>
      </w:r>
    </w:p>
    <w:p w14:paraId="6C6D1281" w14:textId="2916DA0F" w:rsidR="00104BC6" w:rsidRDefault="00104BC6" w:rsidP="00D309CC">
      <w:pPr>
        <w:pStyle w:val="CH"/>
        <w:rPr>
          <w:b w:val="0"/>
        </w:rPr>
      </w:pPr>
      <w:r>
        <w:t>Release:</w:t>
      </w:r>
      <w:r>
        <w:tab/>
      </w:r>
      <w:r w:rsidRPr="00261B7C">
        <w:t>Rel-</w:t>
      </w:r>
      <w:r w:rsidR="00261B7C">
        <w:t>1</w:t>
      </w:r>
      <w:r w:rsidR="0041733B">
        <w:t>7</w:t>
      </w:r>
    </w:p>
    <w:p w14:paraId="2E4E044D" w14:textId="149CA38B" w:rsidR="00D309CC" w:rsidRDefault="00D309CC" w:rsidP="00D309CC">
      <w:pPr>
        <w:pStyle w:val="CH"/>
      </w:pPr>
      <w:r>
        <w:t>Document for:</w:t>
      </w:r>
      <w:r>
        <w:tab/>
      </w:r>
      <w:r w:rsidR="007E5AE9">
        <w:t>Approval</w:t>
      </w:r>
    </w:p>
    <w:p w14:paraId="0207DB43" w14:textId="77777777" w:rsidR="00D46431" w:rsidRPr="0008103A" w:rsidRDefault="00D46431" w:rsidP="00D309CC">
      <w:pPr>
        <w:pStyle w:val="CH"/>
        <w:rPr>
          <w:b w:val="0"/>
        </w:rPr>
      </w:pPr>
    </w:p>
    <w:p w14:paraId="5AB2C4CE" w14:textId="1734F79E" w:rsidR="00A75621" w:rsidRPr="00A75621" w:rsidRDefault="008E7986" w:rsidP="00A75621">
      <w:pPr>
        <w:pStyle w:val="Heading1"/>
      </w:pPr>
      <w:r>
        <w:t>1</w:t>
      </w:r>
      <w:r>
        <w:tab/>
      </w:r>
      <w:r w:rsidRPr="004D3578">
        <w:t>Introduction</w:t>
      </w:r>
      <w:r>
        <w:t xml:space="preserve"> </w:t>
      </w:r>
    </w:p>
    <w:p w14:paraId="103A80D9" w14:textId="77777777" w:rsidR="004768DA" w:rsidRDefault="004768DA" w:rsidP="004768DA">
      <w:pPr>
        <w:spacing w:after="0"/>
        <w:jc w:val="both"/>
        <w:rPr>
          <w:rFonts w:ascii="Arial" w:hAnsi="Arial" w:cs="Arial"/>
        </w:rPr>
      </w:pPr>
    </w:p>
    <w:p w14:paraId="06E92CC7" w14:textId="10D059A8" w:rsidR="008E7986" w:rsidRPr="00A75621" w:rsidRDefault="00121103" w:rsidP="00A75621">
      <w:pPr>
        <w:jc w:val="both"/>
        <w:rPr>
          <w:rFonts w:ascii="Arial" w:hAnsi="Arial" w:cs="Arial"/>
        </w:rPr>
      </w:pPr>
      <w:r>
        <w:rPr>
          <w:rFonts w:ascii="Arial" w:hAnsi="Arial" w:cs="Arial"/>
        </w:rPr>
        <w:t>In light of ever</w:t>
      </w:r>
      <w:r w:rsidR="007E5AE9">
        <w:rPr>
          <w:rFonts w:ascii="Arial" w:hAnsi="Arial" w:cs="Arial"/>
        </w:rPr>
        <w:t>-</w:t>
      </w:r>
      <w:r>
        <w:rPr>
          <w:rFonts w:ascii="Arial" w:hAnsi="Arial" w:cs="Arial"/>
        </w:rPr>
        <w:t>increasing demand in network capacity and the anticipated ample spectrum availability for frequency above</w:t>
      </w:r>
      <w:r w:rsidR="0041733B">
        <w:rPr>
          <w:rFonts w:ascii="Arial" w:hAnsi="Arial" w:cs="Arial"/>
        </w:rPr>
        <w:t xml:space="preserve"> </w:t>
      </w:r>
      <w:r>
        <w:rPr>
          <w:rFonts w:ascii="Arial" w:hAnsi="Arial" w:cs="Arial"/>
        </w:rPr>
        <w:t xml:space="preserve">NR FR2 range, a study item on supporting NR from 52.6 GHz to 71 GHz [1] has been started in the early </w:t>
      </w:r>
      <w:r w:rsidR="007E5AE9">
        <w:rPr>
          <w:rFonts w:ascii="Arial" w:hAnsi="Arial" w:cs="Arial"/>
        </w:rPr>
        <w:t>phase</w:t>
      </w:r>
      <w:r>
        <w:rPr>
          <w:rFonts w:ascii="Arial" w:hAnsi="Arial" w:cs="Arial"/>
        </w:rPr>
        <w:t xml:space="preserve"> of Rel-17, which is then followed by a WID on extending current NR operation to 71 GHz approved in last plenary meeting [2]. As UE maximum output power capability is expected to be trending </w:t>
      </w:r>
      <w:r w:rsidR="007E5AE9">
        <w:rPr>
          <w:rFonts w:ascii="Arial" w:hAnsi="Arial" w:cs="Arial"/>
        </w:rPr>
        <w:t>lower</w:t>
      </w:r>
      <w:r>
        <w:rPr>
          <w:rFonts w:ascii="Arial" w:hAnsi="Arial" w:cs="Arial"/>
        </w:rPr>
        <w:t xml:space="preserve"> with increasing operation frequency, and the free space path loss is correspondingly moving higher, the UL dynamic range is seen highly contracted which could lead to an NR-based network operation without the need for UL transmit power control (TPC), in particular for </w:t>
      </w:r>
      <w:bookmarkStart w:id="1" w:name="OLE_LINK1"/>
      <w:r>
        <w:rPr>
          <w:rFonts w:ascii="Arial" w:hAnsi="Arial" w:cs="Arial"/>
        </w:rPr>
        <w:t>60 GHz and above frequency ranges</w:t>
      </w:r>
      <w:bookmarkEnd w:id="1"/>
      <w:r>
        <w:rPr>
          <w:rFonts w:ascii="Arial" w:hAnsi="Arial" w:cs="Arial"/>
        </w:rPr>
        <w:t>. In this contribution, we share our views on why UL TPC for 60 GHz and above frequency ranges may potentially be omitted which could not only simplify the network operation</w:t>
      </w:r>
      <w:r w:rsidR="007E5AE9">
        <w:rPr>
          <w:rFonts w:ascii="Arial" w:hAnsi="Arial" w:cs="Arial"/>
        </w:rPr>
        <w:t xml:space="preserve"> on UL radio control</w:t>
      </w:r>
      <w:r>
        <w:rPr>
          <w:rFonts w:ascii="Arial" w:hAnsi="Arial" w:cs="Arial"/>
        </w:rPr>
        <w:t xml:space="preserve">, but also </w:t>
      </w:r>
      <w:r w:rsidR="007E5AE9">
        <w:rPr>
          <w:rFonts w:ascii="Arial" w:hAnsi="Arial" w:cs="Arial"/>
        </w:rPr>
        <w:t xml:space="preserve">substantially </w:t>
      </w:r>
      <w:r>
        <w:rPr>
          <w:rFonts w:ascii="Arial" w:hAnsi="Arial" w:cs="Arial"/>
        </w:rPr>
        <w:t xml:space="preserve">reduce UE transmitter design complexity.       </w:t>
      </w:r>
      <w:r w:rsidR="0041733B">
        <w:rPr>
          <w:rFonts w:ascii="Arial" w:hAnsi="Arial" w:cs="Arial"/>
        </w:rPr>
        <w:t xml:space="preserve">     </w:t>
      </w:r>
      <w:r w:rsidR="00AC0150">
        <w:rPr>
          <w:rFonts w:ascii="Arial" w:hAnsi="Arial" w:cs="Arial"/>
        </w:rPr>
        <w:t xml:space="preserve">    </w:t>
      </w:r>
    </w:p>
    <w:p w14:paraId="3A67921B" w14:textId="518FE425" w:rsidR="008E7986" w:rsidRDefault="00D463D6" w:rsidP="00B574A0">
      <w:pPr>
        <w:pStyle w:val="Heading1"/>
        <w:numPr>
          <w:ilvl w:val="0"/>
          <w:numId w:val="11"/>
        </w:numPr>
        <w:ind w:left="1138" w:hanging="1138"/>
      </w:pPr>
      <w:r>
        <w:t>Discussion</w:t>
      </w:r>
    </w:p>
    <w:p w14:paraId="187FBF8E" w14:textId="03CA7DCB" w:rsidR="002D61E3" w:rsidRDefault="002D61E3" w:rsidP="0041733B">
      <w:pPr>
        <w:spacing w:after="0"/>
        <w:jc w:val="both"/>
        <w:rPr>
          <w:rFonts w:ascii="Arial" w:hAnsi="Arial" w:cs="Arial"/>
        </w:rPr>
      </w:pPr>
    </w:p>
    <w:p w14:paraId="07BA72C3" w14:textId="77777777" w:rsidR="007E5AE9" w:rsidRDefault="007E5AE9" w:rsidP="007E5AE9">
      <w:pPr>
        <w:spacing w:after="120"/>
        <w:jc w:val="both"/>
        <w:rPr>
          <w:rFonts w:ascii="Arial" w:hAnsi="Arial" w:cs="Arial"/>
        </w:rPr>
      </w:pPr>
      <w:r>
        <w:rPr>
          <w:rFonts w:ascii="Arial" w:hAnsi="Arial" w:cs="Arial"/>
        </w:rPr>
        <w:t>In cellular networks, UL TPC is a rather complicated mechanism which is composed of o</w:t>
      </w:r>
      <w:r w:rsidRPr="007E5AE9">
        <w:rPr>
          <w:rFonts w:ascii="Arial" w:hAnsi="Arial" w:cs="Arial"/>
        </w:rPr>
        <w:t>pen loop power control during the initial access (PRACH process</w:t>
      </w:r>
      <w:r>
        <w:rPr>
          <w:rFonts w:ascii="Arial" w:hAnsi="Arial" w:cs="Arial"/>
        </w:rPr>
        <w:t>) and c</w:t>
      </w:r>
      <w:r w:rsidRPr="007E5AE9">
        <w:rPr>
          <w:rFonts w:ascii="Arial" w:hAnsi="Arial" w:cs="Arial"/>
        </w:rPr>
        <w:t>losed loop power control when UE is in connection with the network (PUSCH, PUCCH, and SRS)</w:t>
      </w:r>
      <w:r>
        <w:rPr>
          <w:rFonts w:ascii="Arial" w:hAnsi="Arial" w:cs="Arial"/>
        </w:rPr>
        <w:t>. T</w:t>
      </w:r>
      <w:r w:rsidRPr="007E5AE9">
        <w:rPr>
          <w:rFonts w:ascii="Arial" w:hAnsi="Arial" w:cs="Arial"/>
        </w:rPr>
        <w:t xml:space="preserve">he two key parameters in determining the UL transmission power </w:t>
      </w:r>
      <w:r>
        <w:rPr>
          <w:rFonts w:ascii="Arial" w:hAnsi="Arial" w:cs="Arial"/>
        </w:rPr>
        <w:t xml:space="preserve">in UL TPC </w:t>
      </w:r>
      <w:r w:rsidRPr="007E5AE9">
        <w:rPr>
          <w:rFonts w:ascii="Arial" w:hAnsi="Arial" w:cs="Arial"/>
        </w:rPr>
        <w:t>are</w:t>
      </w:r>
      <w:r>
        <w:rPr>
          <w:rFonts w:ascii="Arial" w:hAnsi="Arial" w:cs="Arial"/>
        </w:rPr>
        <w:t xml:space="preserve"> P</w:t>
      </w:r>
      <w:r w:rsidRPr="007E5AE9">
        <w:rPr>
          <w:rFonts w:ascii="Arial" w:hAnsi="Arial" w:cs="Arial"/>
          <w:vertAlign w:val="subscript"/>
        </w:rPr>
        <w:t>CMAX</w:t>
      </w:r>
      <w:r>
        <w:rPr>
          <w:rFonts w:ascii="Arial" w:hAnsi="Arial" w:cs="Arial"/>
        </w:rPr>
        <w:t xml:space="preserve"> and PL as is shown in the following formula for open loop PRACH output power,</w:t>
      </w:r>
    </w:p>
    <w:p w14:paraId="551D4C94" w14:textId="77777777" w:rsidR="007E5AE9" w:rsidRDefault="007E5AE9" w:rsidP="007E5AE9">
      <w:pPr>
        <w:spacing w:after="0"/>
        <w:jc w:val="both"/>
        <w:rPr>
          <w:rFonts w:ascii="Arial" w:hAnsi="Arial" w:cs="Arial"/>
        </w:rPr>
      </w:pPr>
    </w:p>
    <w:p w14:paraId="7DC14935" w14:textId="03E5F855" w:rsidR="007E5AE9" w:rsidRDefault="007E5AE9" w:rsidP="007E5AE9">
      <w:pPr>
        <w:spacing w:after="240"/>
        <w:jc w:val="center"/>
        <w:rPr>
          <w:rFonts w:ascii="Arial" w:hAnsi="Arial" w:cs="Arial"/>
        </w:rPr>
      </w:pPr>
      <w:r>
        <w:rPr>
          <w:rFonts w:ascii="Arial" w:hAnsi="Arial" w:cs="Arial"/>
        </w:rPr>
        <w:t>P</w:t>
      </w:r>
      <w:r w:rsidRPr="007E5AE9">
        <w:rPr>
          <w:rFonts w:ascii="Arial" w:hAnsi="Arial" w:cs="Arial"/>
          <w:vertAlign w:val="subscript"/>
        </w:rPr>
        <w:t>PRACH</w:t>
      </w:r>
      <w:r>
        <w:rPr>
          <w:rFonts w:ascii="Arial" w:hAnsi="Arial" w:cs="Arial"/>
        </w:rPr>
        <w:t xml:space="preserve"> = min{P</w:t>
      </w:r>
      <w:r w:rsidRPr="007E5AE9">
        <w:rPr>
          <w:rFonts w:ascii="Arial" w:hAnsi="Arial" w:cs="Arial"/>
          <w:vertAlign w:val="subscript"/>
        </w:rPr>
        <w:t>CMAX</w:t>
      </w:r>
      <w:r>
        <w:rPr>
          <w:rFonts w:ascii="Arial" w:hAnsi="Arial" w:cs="Arial"/>
        </w:rPr>
        <w:t xml:space="preserve">, </w:t>
      </w:r>
      <w:r w:rsidRPr="007E5AE9">
        <w:rPr>
          <w:rFonts w:ascii="Arial" w:hAnsi="Arial" w:cs="Arial"/>
        </w:rPr>
        <w:t>P</w:t>
      </w:r>
      <w:r w:rsidRPr="007E5AE9">
        <w:rPr>
          <w:rFonts w:ascii="Arial" w:hAnsi="Arial" w:cs="Arial"/>
          <w:vertAlign w:val="subscript"/>
        </w:rPr>
        <w:t>PRACH,target</w:t>
      </w:r>
      <w:r>
        <w:rPr>
          <w:rFonts w:ascii="Arial" w:hAnsi="Arial" w:cs="Arial"/>
        </w:rPr>
        <w:t xml:space="preserve"> + PL}</w:t>
      </w:r>
    </w:p>
    <w:p w14:paraId="0DAF1871" w14:textId="4F0B84F7" w:rsidR="007E5AE9" w:rsidRDefault="007E5AE9" w:rsidP="000A0C3B">
      <w:pPr>
        <w:spacing w:after="120"/>
        <w:jc w:val="both"/>
        <w:rPr>
          <w:rFonts w:ascii="Arial" w:hAnsi="Arial" w:cs="Arial"/>
        </w:rPr>
      </w:pPr>
      <w:r>
        <w:rPr>
          <w:rFonts w:ascii="Arial" w:hAnsi="Arial" w:cs="Arial"/>
        </w:rPr>
        <w:t>where P</w:t>
      </w:r>
      <w:r w:rsidRPr="007E5AE9">
        <w:rPr>
          <w:rFonts w:ascii="Arial" w:hAnsi="Arial" w:cs="Arial"/>
          <w:vertAlign w:val="subscript"/>
        </w:rPr>
        <w:t>CMAX</w:t>
      </w:r>
      <w:r>
        <w:rPr>
          <w:rFonts w:ascii="Arial" w:hAnsi="Arial" w:cs="Arial"/>
        </w:rPr>
        <w:t xml:space="preserve"> is UE’s maximum output power capability and PL is the path loss. </w:t>
      </w:r>
      <w:r w:rsidRPr="007E5AE9">
        <w:rPr>
          <w:rFonts w:ascii="Arial" w:hAnsi="Arial" w:cs="Arial"/>
        </w:rPr>
        <w:t>For high frequency operation such as in NR FR2 or above frequency ranges, the P</w:t>
      </w:r>
      <w:r w:rsidRPr="007E5AE9">
        <w:rPr>
          <w:rFonts w:ascii="Arial" w:hAnsi="Arial" w:cs="Arial"/>
          <w:vertAlign w:val="subscript"/>
        </w:rPr>
        <w:t>CMAX</w:t>
      </w:r>
      <w:r w:rsidRPr="007E5AE9">
        <w:rPr>
          <w:rFonts w:ascii="Arial" w:hAnsi="Arial" w:cs="Arial"/>
        </w:rPr>
        <w:t xml:space="preserve"> in general decreases with increasing frequency</w:t>
      </w:r>
      <w:r>
        <w:rPr>
          <w:rFonts w:ascii="Arial" w:hAnsi="Arial" w:cs="Arial"/>
        </w:rPr>
        <w:t xml:space="preserve"> which has been seen in FR2 UE maximum output power requirements over the frequency bands from 28 GHz up to 43 GHz [3]. And such downward trend is expected to continue into the 60 GHz and above frequency ranges. On the other hand, the free space path loss (FSPL) elevates along with increasing frequency. Figure 2-1 illustrates the extrapolated UE P</w:t>
      </w:r>
      <w:r w:rsidRPr="007E5AE9">
        <w:rPr>
          <w:rFonts w:ascii="Arial" w:hAnsi="Arial" w:cs="Arial"/>
          <w:vertAlign w:val="subscript"/>
        </w:rPr>
        <w:t>CMAX</w:t>
      </w:r>
      <w:r>
        <w:rPr>
          <w:rFonts w:ascii="Arial" w:hAnsi="Arial" w:cs="Arial"/>
        </w:rPr>
        <w:t xml:space="preserve"> and FSPL over the frequency range from 28 GHz to 60 GHz. The decreasing gap between the two trend lines along with increasing frequency is an indication of UL dynamic range contraction. </w:t>
      </w:r>
    </w:p>
    <w:p w14:paraId="2A43D461" w14:textId="77777777" w:rsidR="007E5AE9" w:rsidRDefault="007E5AE9" w:rsidP="007E5AE9">
      <w:pPr>
        <w:spacing w:after="0"/>
        <w:jc w:val="center"/>
        <w:rPr>
          <w:noProof/>
        </w:rPr>
      </w:pPr>
      <w:r>
        <w:rPr>
          <w:noProof/>
        </w:rPr>
        <w:drawing>
          <wp:inline distT="0" distB="0" distL="0" distR="0" wp14:anchorId="38D01B1A" wp14:editId="529F36F9">
            <wp:extent cx="3028711" cy="1531089"/>
            <wp:effectExtent l="0" t="0" r="0" b="5715"/>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9"/>
                    <a:stretch>
                      <a:fillRect/>
                    </a:stretch>
                  </pic:blipFill>
                  <pic:spPr>
                    <a:xfrm>
                      <a:off x="0" y="0"/>
                      <a:ext cx="3113825" cy="1574116"/>
                    </a:xfrm>
                    <a:prstGeom prst="rect">
                      <a:avLst/>
                    </a:prstGeom>
                  </pic:spPr>
                </pic:pic>
              </a:graphicData>
            </a:graphic>
          </wp:inline>
        </w:drawing>
      </w:r>
      <w:r>
        <w:rPr>
          <w:noProof/>
        </w:rPr>
        <w:t xml:space="preserve"> </w:t>
      </w:r>
    </w:p>
    <w:p w14:paraId="43AD773F" w14:textId="5B5A177C" w:rsidR="007E5AE9" w:rsidRDefault="007E5AE9" w:rsidP="007E5AE9">
      <w:pPr>
        <w:spacing w:after="0"/>
        <w:jc w:val="center"/>
        <w:rPr>
          <w:rFonts w:ascii="Arial" w:hAnsi="Arial" w:cs="Arial"/>
        </w:rPr>
      </w:pPr>
      <w:r>
        <w:rPr>
          <w:noProof/>
        </w:rPr>
        <mc:AlternateContent>
          <mc:Choice Requires="wps">
            <w:drawing>
              <wp:anchor distT="0" distB="0" distL="114300" distR="114300" simplePos="0" relativeHeight="251659264" behindDoc="0" locked="0" layoutInCell="1" allowOverlap="1" wp14:anchorId="1466E53F" wp14:editId="3CD4D5AE">
                <wp:simplePos x="0" y="0"/>
                <wp:positionH relativeFrom="column">
                  <wp:posOffset>-889886</wp:posOffset>
                </wp:positionH>
                <wp:positionV relativeFrom="paragraph">
                  <wp:posOffset>8060513</wp:posOffset>
                </wp:positionV>
                <wp:extent cx="152400" cy="469900"/>
                <wp:effectExtent l="0" t="0" r="12700" b="12700"/>
                <wp:wrapNone/>
                <wp:docPr id="8" name="Oval 7">
                  <a:extLst xmlns:a="http://schemas.openxmlformats.org/drawingml/2006/main">
                    <a:ext uri="{FF2B5EF4-FFF2-40B4-BE49-F238E27FC236}">
                      <a16:creationId xmlns:a16="http://schemas.microsoft.com/office/drawing/2014/main" id="{E54A690D-3A7A-7747-99A9-7E06177B9A22}"/>
                    </a:ext>
                  </a:extLst>
                </wp:docPr>
                <wp:cNvGraphicFramePr/>
                <a:graphic xmlns:a="http://schemas.openxmlformats.org/drawingml/2006/main">
                  <a:graphicData uri="http://schemas.microsoft.com/office/word/2010/wordprocessingShape">
                    <wps:wsp>
                      <wps:cNvSpPr/>
                      <wps:spPr>
                        <a:xfrm>
                          <a:off x="0" y="0"/>
                          <a:ext cx="152400" cy="4699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oval w14:anchorId="5CFF26FC" id="Oval 7" o:spid="_x0000_s1026" style="position:absolute;margin-left:-70.05pt;margin-top:634.7pt;width:12pt;height:37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" filled="f" strokecolor="black [3213]"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4743B0BC" wp14:editId="4765C972">
                <wp:simplePos x="0" y="0"/>
                <wp:positionH relativeFrom="column">
                  <wp:posOffset>-1438644</wp:posOffset>
                </wp:positionH>
                <wp:positionV relativeFrom="paragraph">
                  <wp:posOffset>8517122</wp:posOffset>
                </wp:positionV>
                <wp:extent cx="558800" cy="0"/>
                <wp:effectExtent l="25400" t="63500" r="0" b="76200"/>
                <wp:wrapNone/>
                <wp:docPr id="16" name="Straight Arrow Connector 15">
                  <a:extLst xmlns:a="http://schemas.openxmlformats.org/drawingml/2006/main">
                    <a:ext uri="{FF2B5EF4-FFF2-40B4-BE49-F238E27FC236}">
                      <a16:creationId xmlns:a16="http://schemas.microsoft.com/office/drawing/2014/main" id="{7D6D385F-C4F2-9942-B98F-2FF5C6FD707B}"/>
                    </a:ext>
                  </a:extLst>
                </wp:docPr>
                <wp:cNvGraphicFramePr/>
                <a:graphic xmlns:a="http://schemas.openxmlformats.org/drawingml/2006/main">
                  <a:graphicData uri="http://schemas.microsoft.com/office/word/2010/wordprocessingShape">
                    <wps:wsp>
                      <wps:cNvCnPr/>
                      <wps:spPr>
                        <a:xfrm>
                          <a:off x="0" y="0"/>
                          <a:ext cx="558800"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E493BB4" id="_x0000_t32" coordsize="21600,21600" o:spt="32" o:oned="t" path="m,l21600,21600e" filled="f">
                <v:path arrowok="t" fillok="f" o:connecttype="none"/>
                <o:lock v:ext="edit" shapetype="t"/>
              </v:shapetype>
              <v:shape id="Straight Arrow Connector 15" o:spid="_x0000_s1026" type="#_x0000_t32" style="position:absolute;margin-left:-113.3pt;margin-top:670.65pt;width:44pt;height: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" strokecolor="black [3213]" strokeweight="1pt">
                <v:stroke startarrow="block" joinstyle="miter"/>
              </v:shape>
            </w:pict>
          </mc:Fallback>
        </mc:AlternateContent>
      </w:r>
    </w:p>
    <w:p w14:paraId="1A6F31DC" w14:textId="714F8311" w:rsidR="007E5AE9" w:rsidRDefault="007E5AE9" w:rsidP="007E5AE9">
      <w:pPr>
        <w:spacing w:after="120"/>
        <w:jc w:val="center"/>
        <w:rPr>
          <w:rFonts w:ascii="Arial" w:hAnsi="Arial" w:cs="Arial"/>
        </w:rPr>
      </w:pPr>
      <w:r>
        <w:rPr>
          <w:rFonts w:ascii="Arial" w:hAnsi="Arial" w:cs="Arial"/>
          <w:b/>
        </w:rPr>
        <w:t>Figure 2-1 Extrapolated UE P</w:t>
      </w:r>
      <w:r w:rsidRPr="007E5AE9">
        <w:rPr>
          <w:rFonts w:ascii="Arial" w:hAnsi="Arial" w:cs="Arial"/>
          <w:b/>
          <w:vertAlign w:val="subscript"/>
        </w:rPr>
        <w:t>CMAX</w:t>
      </w:r>
      <w:r>
        <w:rPr>
          <w:rFonts w:ascii="Arial" w:hAnsi="Arial" w:cs="Arial"/>
          <w:b/>
        </w:rPr>
        <w:t xml:space="preserve"> and FSPL over operation frequency</w:t>
      </w:r>
    </w:p>
    <w:p w14:paraId="1734D6A5" w14:textId="5AC19921" w:rsidR="007E5AE9" w:rsidRPr="007E5AE9" w:rsidRDefault="007E5AE9" w:rsidP="000A0C3B">
      <w:pPr>
        <w:spacing w:after="120"/>
        <w:jc w:val="both"/>
        <w:rPr>
          <w:rFonts w:ascii="Arial" w:hAnsi="Arial" w:cs="Arial"/>
          <w:i/>
          <w:iCs/>
        </w:rPr>
      </w:pPr>
      <w:r w:rsidRPr="007E5AE9">
        <w:rPr>
          <w:rFonts w:ascii="Arial" w:hAnsi="Arial" w:cs="Arial"/>
          <w:b/>
          <w:bCs/>
          <w:i/>
          <w:iCs/>
        </w:rPr>
        <w:lastRenderedPageBreak/>
        <w:t>Observation 1</w:t>
      </w:r>
      <w:r w:rsidRPr="007E5AE9">
        <w:rPr>
          <w:rFonts w:ascii="Arial" w:hAnsi="Arial" w:cs="Arial"/>
          <w:i/>
          <w:iCs/>
        </w:rPr>
        <w:t>: UE UL dynamic range is seen decreasing over increasing operati</w:t>
      </w:r>
      <w:r>
        <w:rPr>
          <w:rFonts w:ascii="Arial" w:hAnsi="Arial" w:cs="Arial"/>
          <w:i/>
          <w:iCs/>
        </w:rPr>
        <w:t>on</w:t>
      </w:r>
      <w:r w:rsidRPr="007E5AE9">
        <w:rPr>
          <w:rFonts w:ascii="Arial" w:hAnsi="Arial" w:cs="Arial"/>
          <w:i/>
          <w:iCs/>
        </w:rPr>
        <w:t xml:space="preserve"> frequency.</w:t>
      </w:r>
    </w:p>
    <w:p w14:paraId="694F45B3" w14:textId="77777777" w:rsidR="007E5AE9" w:rsidRDefault="007E5AE9" w:rsidP="007E5AE9">
      <w:pPr>
        <w:spacing w:after="0"/>
        <w:jc w:val="both"/>
        <w:rPr>
          <w:rFonts w:ascii="Arial" w:hAnsi="Arial" w:cs="Arial"/>
        </w:rPr>
      </w:pPr>
    </w:p>
    <w:p w14:paraId="76FD67DF" w14:textId="371EB8F3" w:rsidR="007E5AE9" w:rsidRDefault="007E5AE9" w:rsidP="000A0C3B">
      <w:pPr>
        <w:spacing w:after="120"/>
        <w:jc w:val="both"/>
        <w:rPr>
          <w:rFonts w:ascii="Arial" w:hAnsi="Arial" w:cs="Arial"/>
        </w:rPr>
      </w:pPr>
      <w:r>
        <w:rPr>
          <w:rFonts w:ascii="Arial" w:hAnsi="Arial" w:cs="Arial"/>
        </w:rPr>
        <w:t>Table 2-1 further provides a primitive link budget analysis for UE operating at 2GHz, 30GHz, and 60GHz to estimate the required power back-off from P</w:t>
      </w:r>
      <w:r w:rsidRPr="007E5AE9">
        <w:rPr>
          <w:rFonts w:ascii="Arial" w:hAnsi="Arial" w:cs="Arial"/>
          <w:vertAlign w:val="subscript"/>
        </w:rPr>
        <w:t>CMAX</w:t>
      </w:r>
      <w:r>
        <w:rPr>
          <w:rFonts w:ascii="Arial" w:hAnsi="Arial" w:cs="Arial"/>
        </w:rPr>
        <w:t xml:space="preserve"> to achieve a target SNR of 25 dB at gNB receiver.</w:t>
      </w:r>
    </w:p>
    <w:p w14:paraId="007BDBDE" w14:textId="77777777" w:rsidR="007E5AE9" w:rsidRDefault="007E5AE9" w:rsidP="007E5AE9">
      <w:pPr>
        <w:spacing w:after="0"/>
        <w:jc w:val="both"/>
        <w:rPr>
          <w:rFonts w:ascii="Arial" w:hAnsi="Arial" w:cs="Arial"/>
        </w:rPr>
      </w:pPr>
    </w:p>
    <w:tbl>
      <w:tblPr>
        <w:tblW w:w="7180" w:type="dxa"/>
        <w:jc w:val="center"/>
        <w:tblLook w:val="04A0" w:firstRow="1" w:lastRow="0" w:firstColumn="1" w:lastColumn="0" w:noHBand="0" w:noVBand="1"/>
      </w:tblPr>
      <w:tblGrid>
        <w:gridCol w:w="3280"/>
        <w:gridCol w:w="1300"/>
        <w:gridCol w:w="1300"/>
        <w:gridCol w:w="1300"/>
      </w:tblGrid>
      <w:tr w:rsidR="007E5AE9" w:rsidRPr="007E5AE9" w14:paraId="791565D7" w14:textId="77777777" w:rsidTr="007E5AE9">
        <w:trPr>
          <w:trHeight w:val="320"/>
          <w:jc w:val="center"/>
        </w:trPr>
        <w:tc>
          <w:tcPr>
            <w:tcW w:w="328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7AF088B" w14:textId="0B342872" w:rsidR="007E5AE9" w:rsidRPr="007E5AE9" w:rsidRDefault="007E5AE9" w:rsidP="007E5AE9">
            <w:pPr>
              <w:spacing w:after="0"/>
              <w:rPr>
                <w:rFonts w:ascii="Calibri" w:hAnsi="Calibri" w:cs="Calibri"/>
                <w:color w:val="000000"/>
                <w:lang w:val="en-US"/>
              </w:rPr>
            </w:pPr>
            <w:r w:rsidRPr="007E5AE9">
              <w:rPr>
                <w:rFonts w:ascii="Calibri" w:hAnsi="Calibri" w:cs="Calibri"/>
                <w:color w:val="000000"/>
                <w:lang w:val="en-US"/>
              </w:rPr>
              <w:t>Frequency (GHz)</w:t>
            </w:r>
          </w:p>
        </w:tc>
        <w:tc>
          <w:tcPr>
            <w:tcW w:w="1300" w:type="dxa"/>
            <w:tcBorders>
              <w:top w:val="single" w:sz="8" w:space="0" w:color="auto"/>
              <w:left w:val="nil"/>
              <w:bottom w:val="single" w:sz="4" w:space="0" w:color="auto"/>
              <w:right w:val="single" w:sz="4" w:space="0" w:color="auto"/>
            </w:tcBorders>
            <w:shd w:val="clear" w:color="auto" w:fill="auto"/>
            <w:noWrap/>
            <w:vAlign w:val="center"/>
            <w:hideMark/>
          </w:tcPr>
          <w:p w14:paraId="50E7A026"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2</w:t>
            </w:r>
          </w:p>
        </w:tc>
        <w:tc>
          <w:tcPr>
            <w:tcW w:w="1300" w:type="dxa"/>
            <w:tcBorders>
              <w:top w:val="single" w:sz="8" w:space="0" w:color="auto"/>
              <w:left w:val="nil"/>
              <w:bottom w:val="single" w:sz="4" w:space="0" w:color="auto"/>
              <w:right w:val="single" w:sz="4" w:space="0" w:color="auto"/>
            </w:tcBorders>
            <w:shd w:val="clear" w:color="auto" w:fill="auto"/>
            <w:noWrap/>
            <w:vAlign w:val="center"/>
            <w:hideMark/>
          </w:tcPr>
          <w:p w14:paraId="60F7C1F8"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30</w:t>
            </w:r>
          </w:p>
        </w:tc>
        <w:tc>
          <w:tcPr>
            <w:tcW w:w="1300" w:type="dxa"/>
            <w:tcBorders>
              <w:top w:val="single" w:sz="8" w:space="0" w:color="auto"/>
              <w:left w:val="nil"/>
              <w:bottom w:val="single" w:sz="4" w:space="0" w:color="auto"/>
              <w:right w:val="single" w:sz="8" w:space="0" w:color="auto"/>
            </w:tcBorders>
            <w:shd w:val="clear" w:color="auto" w:fill="auto"/>
            <w:noWrap/>
            <w:vAlign w:val="center"/>
            <w:hideMark/>
          </w:tcPr>
          <w:p w14:paraId="1BD94414"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60</w:t>
            </w:r>
          </w:p>
        </w:tc>
      </w:tr>
      <w:tr w:rsidR="007E5AE9" w:rsidRPr="007E5AE9" w14:paraId="6291186E" w14:textId="77777777" w:rsidTr="007E5AE9">
        <w:trPr>
          <w:trHeight w:val="320"/>
          <w:jc w:val="center"/>
        </w:trPr>
        <w:tc>
          <w:tcPr>
            <w:tcW w:w="3280" w:type="dxa"/>
            <w:tcBorders>
              <w:top w:val="nil"/>
              <w:left w:val="single" w:sz="8" w:space="0" w:color="auto"/>
              <w:bottom w:val="single" w:sz="4" w:space="0" w:color="auto"/>
              <w:right w:val="single" w:sz="4" w:space="0" w:color="auto"/>
            </w:tcBorders>
            <w:shd w:val="clear" w:color="auto" w:fill="auto"/>
            <w:noWrap/>
            <w:vAlign w:val="center"/>
            <w:hideMark/>
          </w:tcPr>
          <w:p w14:paraId="44F0DA3F" w14:textId="19A5D0D2" w:rsidR="007E5AE9" w:rsidRPr="007E5AE9" w:rsidRDefault="007E5AE9" w:rsidP="007E5AE9">
            <w:pPr>
              <w:spacing w:after="0"/>
              <w:rPr>
                <w:rFonts w:ascii="Calibri" w:hAnsi="Calibri" w:cs="Calibri"/>
                <w:color w:val="000000"/>
                <w:lang w:val="en-US"/>
              </w:rPr>
            </w:pPr>
            <w:r w:rsidRPr="007E5AE9">
              <w:rPr>
                <w:rFonts w:ascii="Calibri" w:hAnsi="Calibri" w:cs="Calibri"/>
                <w:color w:val="000000"/>
                <w:lang w:val="en-US"/>
              </w:rPr>
              <w:t>P</w:t>
            </w:r>
            <w:r w:rsidRPr="007E5AE9">
              <w:rPr>
                <w:rFonts w:ascii="Calibri" w:hAnsi="Calibri" w:cs="Calibri"/>
                <w:color w:val="000000"/>
                <w:vertAlign w:val="subscript"/>
                <w:lang w:val="en-US"/>
              </w:rPr>
              <w:t>CMAX</w:t>
            </w:r>
            <w:r w:rsidRPr="007E5AE9">
              <w:rPr>
                <w:rFonts w:ascii="Calibri" w:hAnsi="Calibri" w:cs="Calibri"/>
                <w:color w:val="000000"/>
                <w:lang w:val="en-US"/>
              </w:rPr>
              <w:t xml:space="preserve"> (dBm)</w:t>
            </w:r>
          </w:p>
        </w:tc>
        <w:tc>
          <w:tcPr>
            <w:tcW w:w="1300" w:type="dxa"/>
            <w:tcBorders>
              <w:top w:val="nil"/>
              <w:left w:val="nil"/>
              <w:bottom w:val="single" w:sz="4" w:space="0" w:color="auto"/>
              <w:right w:val="single" w:sz="4" w:space="0" w:color="auto"/>
            </w:tcBorders>
            <w:shd w:val="clear" w:color="auto" w:fill="auto"/>
            <w:noWrap/>
            <w:vAlign w:val="center"/>
            <w:hideMark/>
          </w:tcPr>
          <w:p w14:paraId="66F18783"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23</w:t>
            </w:r>
          </w:p>
        </w:tc>
        <w:tc>
          <w:tcPr>
            <w:tcW w:w="1300" w:type="dxa"/>
            <w:tcBorders>
              <w:top w:val="nil"/>
              <w:left w:val="nil"/>
              <w:bottom w:val="single" w:sz="4" w:space="0" w:color="auto"/>
              <w:right w:val="single" w:sz="4" w:space="0" w:color="auto"/>
            </w:tcBorders>
            <w:shd w:val="clear" w:color="auto" w:fill="auto"/>
            <w:noWrap/>
            <w:vAlign w:val="center"/>
            <w:hideMark/>
          </w:tcPr>
          <w:p w14:paraId="5AE8AA9E"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22</w:t>
            </w:r>
          </w:p>
        </w:tc>
        <w:tc>
          <w:tcPr>
            <w:tcW w:w="1300" w:type="dxa"/>
            <w:tcBorders>
              <w:top w:val="nil"/>
              <w:left w:val="nil"/>
              <w:bottom w:val="single" w:sz="4" w:space="0" w:color="auto"/>
              <w:right w:val="single" w:sz="8" w:space="0" w:color="auto"/>
            </w:tcBorders>
            <w:shd w:val="clear" w:color="auto" w:fill="auto"/>
            <w:noWrap/>
            <w:vAlign w:val="center"/>
            <w:hideMark/>
          </w:tcPr>
          <w:p w14:paraId="2AE65D2C"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14</w:t>
            </w:r>
          </w:p>
        </w:tc>
      </w:tr>
      <w:tr w:rsidR="007E5AE9" w:rsidRPr="007E5AE9" w14:paraId="609F3C11" w14:textId="77777777" w:rsidTr="007E5AE9">
        <w:trPr>
          <w:trHeight w:val="320"/>
          <w:jc w:val="center"/>
        </w:trPr>
        <w:tc>
          <w:tcPr>
            <w:tcW w:w="3280" w:type="dxa"/>
            <w:tcBorders>
              <w:top w:val="nil"/>
              <w:left w:val="single" w:sz="8" w:space="0" w:color="auto"/>
              <w:bottom w:val="single" w:sz="4" w:space="0" w:color="auto"/>
              <w:right w:val="single" w:sz="4" w:space="0" w:color="auto"/>
            </w:tcBorders>
            <w:shd w:val="clear" w:color="auto" w:fill="auto"/>
            <w:noWrap/>
            <w:vAlign w:val="center"/>
            <w:hideMark/>
          </w:tcPr>
          <w:p w14:paraId="73631DAF" w14:textId="77777777" w:rsidR="007E5AE9" w:rsidRPr="007E5AE9" w:rsidRDefault="007E5AE9" w:rsidP="007E5AE9">
            <w:pPr>
              <w:spacing w:after="0"/>
              <w:rPr>
                <w:rFonts w:ascii="Calibri" w:hAnsi="Calibri" w:cs="Calibri"/>
                <w:color w:val="000000"/>
                <w:lang w:val="en-US"/>
              </w:rPr>
            </w:pPr>
            <w:r w:rsidRPr="007E5AE9">
              <w:rPr>
                <w:rFonts w:ascii="Calibri" w:hAnsi="Calibri" w:cs="Calibri"/>
                <w:color w:val="000000"/>
                <w:lang w:val="en-US"/>
              </w:rPr>
              <w:t>BW (MHz)</w:t>
            </w:r>
          </w:p>
        </w:tc>
        <w:tc>
          <w:tcPr>
            <w:tcW w:w="1300" w:type="dxa"/>
            <w:tcBorders>
              <w:top w:val="nil"/>
              <w:left w:val="nil"/>
              <w:bottom w:val="single" w:sz="4" w:space="0" w:color="auto"/>
              <w:right w:val="single" w:sz="4" w:space="0" w:color="auto"/>
            </w:tcBorders>
            <w:shd w:val="clear" w:color="auto" w:fill="auto"/>
            <w:noWrap/>
            <w:vAlign w:val="center"/>
            <w:hideMark/>
          </w:tcPr>
          <w:p w14:paraId="3C76A7BA"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20</w:t>
            </w:r>
          </w:p>
        </w:tc>
        <w:tc>
          <w:tcPr>
            <w:tcW w:w="1300" w:type="dxa"/>
            <w:tcBorders>
              <w:top w:val="nil"/>
              <w:left w:val="nil"/>
              <w:bottom w:val="single" w:sz="4" w:space="0" w:color="auto"/>
              <w:right w:val="single" w:sz="4" w:space="0" w:color="auto"/>
            </w:tcBorders>
            <w:shd w:val="clear" w:color="auto" w:fill="auto"/>
            <w:noWrap/>
            <w:vAlign w:val="center"/>
            <w:hideMark/>
          </w:tcPr>
          <w:p w14:paraId="2F0D6CCD"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100</w:t>
            </w:r>
          </w:p>
        </w:tc>
        <w:tc>
          <w:tcPr>
            <w:tcW w:w="1300" w:type="dxa"/>
            <w:tcBorders>
              <w:top w:val="nil"/>
              <w:left w:val="nil"/>
              <w:bottom w:val="single" w:sz="4" w:space="0" w:color="auto"/>
              <w:right w:val="single" w:sz="8" w:space="0" w:color="auto"/>
            </w:tcBorders>
            <w:shd w:val="clear" w:color="auto" w:fill="auto"/>
            <w:noWrap/>
            <w:vAlign w:val="center"/>
            <w:hideMark/>
          </w:tcPr>
          <w:p w14:paraId="3113D355"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100</w:t>
            </w:r>
          </w:p>
        </w:tc>
      </w:tr>
      <w:tr w:rsidR="007E5AE9" w:rsidRPr="007E5AE9" w14:paraId="34673826" w14:textId="77777777" w:rsidTr="007E5AE9">
        <w:trPr>
          <w:trHeight w:val="320"/>
          <w:jc w:val="center"/>
        </w:trPr>
        <w:tc>
          <w:tcPr>
            <w:tcW w:w="3280" w:type="dxa"/>
            <w:tcBorders>
              <w:top w:val="nil"/>
              <w:left w:val="single" w:sz="8" w:space="0" w:color="auto"/>
              <w:bottom w:val="single" w:sz="4" w:space="0" w:color="auto"/>
              <w:right w:val="single" w:sz="4" w:space="0" w:color="auto"/>
            </w:tcBorders>
            <w:shd w:val="clear" w:color="auto" w:fill="auto"/>
            <w:noWrap/>
            <w:vAlign w:val="center"/>
            <w:hideMark/>
          </w:tcPr>
          <w:p w14:paraId="57D0505C" w14:textId="17853D80" w:rsidR="007E5AE9" w:rsidRPr="007E5AE9" w:rsidRDefault="007E5AE9" w:rsidP="007E5AE9">
            <w:pPr>
              <w:spacing w:after="0"/>
              <w:rPr>
                <w:rFonts w:ascii="Calibri" w:hAnsi="Calibri" w:cs="Calibri"/>
                <w:color w:val="000000"/>
                <w:lang w:val="en-US"/>
              </w:rPr>
            </w:pPr>
            <w:r w:rsidRPr="007E5AE9">
              <w:rPr>
                <w:rFonts w:ascii="Calibri" w:hAnsi="Calibri" w:cs="Calibri"/>
                <w:color w:val="000000"/>
                <w:lang w:val="en-US"/>
              </w:rPr>
              <w:t>Minimum distance to gNB (m)</w:t>
            </w:r>
          </w:p>
        </w:tc>
        <w:tc>
          <w:tcPr>
            <w:tcW w:w="1300" w:type="dxa"/>
            <w:tcBorders>
              <w:top w:val="nil"/>
              <w:left w:val="nil"/>
              <w:bottom w:val="single" w:sz="4" w:space="0" w:color="auto"/>
              <w:right w:val="single" w:sz="4" w:space="0" w:color="auto"/>
            </w:tcBorders>
            <w:shd w:val="clear" w:color="auto" w:fill="auto"/>
            <w:noWrap/>
            <w:vAlign w:val="center"/>
            <w:hideMark/>
          </w:tcPr>
          <w:p w14:paraId="6DA7C0BF"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10</w:t>
            </w:r>
          </w:p>
        </w:tc>
        <w:tc>
          <w:tcPr>
            <w:tcW w:w="1300" w:type="dxa"/>
            <w:tcBorders>
              <w:top w:val="nil"/>
              <w:left w:val="nil"/>
              <w:bottom w:val="single" w:sz="4" w:space="0" w:color="auto"/>
              <w:right w:val="single" w:sz="4" w:space="0" w:color="auto"/>
            </w:tcBorders>
            <w:shd w:val="clear" w:color="auto" w:fill="auto"/>
            <w:noWrap/>
            <w:vAlign w:val="center"/>
            <w:hideMark/>
          </w:tcPr>
          <w:p w14:paraId="579A4BBB"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10</w:t>
            </w:r>
          </w:p>
        </w:tc>
        <w:tc>
          <w:tcPr>
            <w:tcW w:w="1300" w:type="dxa"/>
            <w:tcBorders>
              <w:top w:val="nil"/>
              <w:left w:val="nil"/>
              <w:bottom w:val="single" w:sz="4" w:space="0" w:color="auto"/>
              <w:right w:val="single" w:sz="8" w:space="0" w:color="auto"/>
            </w:tcBorders>
            <w:shd w:val="clear" w:color="auto" w:fill="auto"/>
            <w:noWrap/>
            <w:vAlign w:val="center"/>
            <w:hideMark/>
          </w:tcPr>
          <w:p w14:paraId="555837F3"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10</w:t>
            </w:r>
          </w:p>
        </w:tc>
      </w:tr>
      <w:tr w:rsidR="007E5AE9" w:rsidRPr="007E5AE9" w14:paraId="6A891D7A" w14:textId="77777777" w:rsidTr="007E5AE9">
        <w:trPr>
          <w:trHeight w:val="320"/>
          <w:jc w:val="center"/>
        </w:trPr>
        <w:tc>
          <w:tcPr>
            <w:tcW w:w="3280" w:type="dxa"/>
            <w:tcBorders>
              <w:top w:val="nil"/>
              <w:left w:val="single" w:sz="8" w:space="0" w:color="auto"/>
              <w:bottom w:val="single" w:sz="4" w:space="0" w:color="auto"/>
              <w:right w:val="single" w:sz="4" w:space="0" w:color="auto"/>
            </w:tcBorders>
            <w:shd w:val="clear" w:color="auto" w:fill="auto"/>
            <w:noWrap/>
            <w:vAlign w:val="center"/>
            <w:hideMark/>
          </w:tcPr>
          <w:p w14:paraId="76E1DF98" w14:textId="77777777" w:rsidR="007E5AE9" w:rsidRPr="007E5AE9" w:rsidRDefault="007E5AE9" w:rsidP="007E5AE9">
            <w:pPr>
              <w:spacing w:after="0"/>
              <w:rPr>
                <w:rFonts w:ascii="Calibri" w:hAnsi="Calibri" w:cs="Calibri"/>
                <w:color w:val="000000"/>
                <w:lang w:val="en-US"/>
              </w:rPr>
            </w:pPr>
            <w:r w:rsidRPr="007E5AE9">
              <w:rPr>
                <w:rFonts w:ascii="Calibri" w:hAnsi="Calibri" w:cs="Calibri"/>
                <w:color w:val="000000"/>
                <w:lang w:val="en-US"/>
              </w:rPr>
              <w:t>FSPL (dB)</w:t>
            </w:r>
          </w:p>
        </w:tc>
        <w:tc>
          <w:tcPr>
            <w:tcW w:w="1300" w:type="dxa"/>
            <w:tcBorders>
              <w:top w:val="nil"/>
              <w:left w:val="nil"/>
              <w:bottom w:val="single" w:sz="4" w:space="0" w:color="auto"/>
              <w:right w:val="single" w:sz="4" w:space="0" w:color="auto"/>
            </w:tcBorders>
            <w:shd w:val="clear" w:color="auto" w:fill="auto"/>
            <w:noWrap/>
            <w:vAlign w:val="center"/>
            <w:hideMark/>
          </w:tcPr>
          <w:p w14:paraId="524BC999"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58</w:t>
            </w:r>
          </w:p>
        </w:tc>
        <w:tc>
          <w:tcPr>
            <w:tcW w:w="1300" w:type="dxa"/>
            <w:tcBorders>
              <w:top w:val="nil"/>
              <w:left w:val="nil"/>
              <w:bottom w:val="single" w:sz="4" w:space="0" w:color="auto"/>
              <w:right w:val="single" w:sz="4" w:space="0" w:color="auto"/>
            </w:tcBorders>
            <w:shd w:val="clear" w:color="auto" w:fill="auto"/>
            <w:noWrap/>
            <w:vAlign w:val="center"/>
            <w:hideMark/>
          </w:tcPr>
          <w:p w14:paraId="4081C454"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82</w:t>
            </w:r>
          </w:p>
        </w:tc>
        <w:tc>
          <w:tcPr>
            <w:tcW w:w="1300" w:type="dxa"/>
            <w:tcBorders>
              <w:top w:val="nil"/>
              <w:left w:val="nil"/>
              <w:bottom w:val="single" w:sz="4" w:space="0" w:color="auto"/>
              <w:right w:val="single" w:sz="8" w:space="0" w:color="auto"/>
            </w:tcBorders>
            <w:shd w:val="clear" w:color="auto" w:fill="auto"/>
            <w:noWrap/>
            <w:vAlign w:val="center"/>
            <w:hideMark/>
          </w:tcPr>
          <w:p w14:paraId="4D55AADF"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88</w:t>
            </w:r>
          </w:p>
        </w:tc>
      </w:tr>
      <w:tr w:rsidR="007E5AE9" w:rsidRPr="007E5AE9" w14:paraId="0A0E5293" w14:textId="77777777" w:rsidTr="007E5AE9">
        <w:trPr>
          <w:trHeight w:val="320"/>
          <w:jc w:val="center"/>
        </w:trPr>
        <w:tc>
          <w:tcPr>
            <w:tcW w:w="3280" w:type="dxa"/>
            <w:tcBorders>
              <w:top w:val="nil"/>
              <w:left w:val="single" w:sz="8" w:space="0" w:color="auto"/>
              <w:bottom w:val="single" w:sz="4" w:space="0" w:color="auto"/>
              <w:right w:val="single" w:sz="4" w:space="0" w:color="auto"/>
            </w:tcBorders>
            <w:shd w:val="clear" w:color="auto" w:fill="auto"/>
            <w:noWrap/>
            <w:vAlign w:val="center"/>
            <w:hideMark/>
          </w:tcPr>
          <w:p w14:paraId="293CC3D0" w14:textId="77777777" w:rsidR="007E5AE9" w:rsidRPr="007E5AE9" w:rsidRDefault="007E5AE9" w:rsidP="007E5AE9">
            <w:pPr>
              <w:spacing w:after="0"/>
              <w:rPr>
                <w:rFonts w:ascii="Calibri" w:hAnsi="Calibri" w:cs="Calibri"/>
                <w:color w:val="000000"/>
                <w:lang w:val="en-US"/>
              </w:rPr>
            </w:pPr>
            <w:r w:rsidRPr="007E5AE9">
              <w:rPr>
                <w:rFonts w:ascii="Calibri" w:hAnsi="Calibri" w:cs="Calibri"/>
                <w:color w:val="000000"/>
                <w:lang w:val="en-US"/>
              </w:rPr>
              <w:t>gNB REFSENS (dBm)</w:t>
            </w:r>
          </w:p>
        </w:tc>
        <w:tc>
          <w:tcPr>
            <w:tcW w:w="1300" w:type="dxa"/>
            <w:tcBorders>
              <w:top w:val="nil"/>
              <w:left w:val="nil"/>
              <w:bottom w:val="single" w:sz="4" w:space="0" w:color="auto"/>
              <w:right w:val="single" w:sz="4" w:space="0" w:color="auto"/>
            </w:tcBorders>
            <w:shd w:val="clear" w:color="auto" w:fill="auto"/>
            <w:noWrap/>
            <w:vAlign w:val="center"/>
            <w:hideMark/>
          </w:tcPr>
          <w:p w14:paraId="1B30CB05"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-95</w:t>
            </w:r>
          </w:p>
        </w:tc>
        <w:tc>
          <w:tcPr>
            <w:tcW w:w="1300" w:type="dxa"/>
            <w:tcBorders>
              <w:top w:val="nil"/>
              <w:left w:val="nil"/>
              <w:bottom w:val="single" w:sz="4" w:space="0" w:color="auto"/>
              <w:right w:val="single" w:sz="4" w:space="0" w:color="auto"/>
            </w:tcBorders>
            <w:shd w:val="clear" w:color="auto" w:fill="auto"/>
            <w:noWrap/>
            <w:vAlign w:val="center"/>
            <w:hideMark/>
          </w:tcPr>
          <w:p w14:paraId="39E94B18"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-90</w:t>
            </w:r>
          </w:p>
        </w:tc>
        <w:tc>
          <w:tcPr>
            <w:tcW w:w="1300" w:type="dxa"/>
            <w:tcBorders>
              <w:top w:val="nil"/>
              <w:left w:val="nil"/>
              <w:bottom w:val="single" w:sz="4" w:space="0" w:color="auto"/>
              <w:right w:val="single" w:sz="8" w:space="0" w:color="auto"/>
            </w:tcBorders>
            <w:shd w:val="clear" w:color="auto" w:fill="auto"/>
            <w:noWrap/>
            <w:vAlign w:val="center"/>
            <w:hideMark/>
          </w:tcPr>
          <w:p w14:paraId="45F2AE1C"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-90</w:t>
            </w:r>
          </w:p>
        </w:tc>
      </w:tr>
      <w:tr w:rsidR="007E5AE9" w:rsidRPr="007E5AE9" w14:paraId="465B081B" w14:textId="77777777" w:rsidTr="007E5AE9">
        <w:trPr>
          <w:trHeight w:val="320"/>
          <w:jc w:val="center"/>
        </w:trPr>
        <w:tc>
          <w:tcPr>
            <w:tcW w:w="3280" w:type="dxa"/>
            <w:tcBorders>
              <w:top w:val="nil"/>
              <w:left w:val="single" w:sz="8" w:space="0" w:color="auto"/>
              <w:bottom w:val="single" w:sz="4" w:space="0" w:color="auto"/>
              <w:right w:val="single" w:sz="4" w:space="0" w:color="auto"/>
            </w:tcBorders>
            <w:shd w:val="clear" w:color="auto" w:fill="auto"/>
            <w:noWrap/>
            <w:vAlign w:val="center"/>
            <w:hideMark/>
          </w:tcPr>
          <w:p w14:paraId="6282822E" w14:textId="77777777" w:rsidR="007E5AE9" w:rsidRPr="007E5AE9" w:rsidRDefault="007E5AE9" w:rsidP="007E5AE9">
            <w:pPr>
              <w:spacing w:after="0"/>
              <w:rPr>
                <w:rFonts w:ascii="Calibri" w:hAnsi="Calibri" w:cs="Calibri"/>
                <w:color w:val="000000"/>
                <w:lang w:val="en-US"/>
              </w:rPr>
            </w:pPr>
            <w:r w:rsidRPr="007E5AE9">
              <w:rPr>
                <w:rFonts w:ascii="Calibri" w:hAnsi="Calibri" w:cs="Calibri"/>
                <w:color w:val="000000"/>
                <w:lang w:val="en-US"/>
              </w:rPr>
              <w:t>SNR at gNB (dB)</w:t>
            </w:r>
          </w:p>
        </w:tc>
        <w:tc>
          <w:tcPr>
            <w:tcW w:w="1300" w:type="dxa"/>
            <w:tcBorders>
              <w:top w:val="nil"/>
              <w:left w:val="nil"/>
              <w:bottom w:val="single" w:sz="4" w:space="0" w:color="auto"/>
              <w:right w:val="single" w:sz="4" w:space="0" w:color="auto"/>
            </w:tcBorders>
            <w:shd w:val="clear" w:color="auto" w:fill="auto"/>
            <w:noWrap/>
            <w:vAlign w:val="center"/>
            <w:hideMark/>
          </w:tcPr>
          <w:p w14:paraId="43C90211"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25</w:t>
            </w:r>
          </w:p>
        </w:tc>
        <w:tc>
          <w:tcPr>
            <w:tcW w:w="1300" w:type="dxa"/>
            <w:tcBorders>
              <w:top w:val="nil"/>
              <w:left w:val="nil"/>
              <w:bottom w:val="single" w:sz="4" w:space="0" w:color="auto"/>
              <w:right w:val="single" w:sz="4" w:space="0" w:color="auto"/>
            </w:tcBorders>
            <w:shd w:val="clear" w:color="auto" w:fill="auto"/>
            <w:noWrap/>
            <w:vAlign w:val="center"/>
            <w:hideMark/>
          </w:tcPr>
          <w:p w14:paraId="11611A79"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25</w:t>
            </w:r>
          </w:p>
        </w:tc>
        <w:tc>
          <w:tcPr>
            <w:tcW w:w="1300" w:type="dxa"/>
            <w:tcBorders>
              <w:top w:val="nil"/>
              <w:left w:val="nil"/>
              <w:bottom w:val="single" w:sz="4" w:space="0" w:color="auto"/>
              <w:right w:val="single" w:sz="8" w:space="0" w:color="auto"/>
            </w:tcBorders>
            <w:shd w:val="clear" w:color="auto" w:fill="auto"/>
            <w:noWrap/>
            <w:vAlign w:val="center"/>
            <w:hideMark/>
          </w:tcPr>
          <w:p w14:paraId="554154B2"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25</w:t>
            </w:r>
          </w:p>
        </w:tc>
      </w:tr>
      <w:tr w:rsidR="007E5AE9" w:rsidRPr="007E5AE9" w14:paraId="33410D6D" w14:textId="77777777" w:rsidTr="007E5AE9">
        <w:trPr>
          <w:trHeight w:val="320"/>
          <w:jc w:val="center"/>
        </w:trPr>
        <w:tc>
          <w:tcPr>
            <w:tcW w:w="3280" w:type="dxa"/>
            <w:tcBorders>
              <w:top w:val="nil"/>
              <w:left w:val="single" w:sz="8" w:space="0" w:color="auto"/>
              <w:bottom w:val="single" w:sz="4" w:space="0" w:color="auto"/>
              <w:right w:val="single" w:sz="4" w:space="0" w:color="auto"/>
            </w:tcBorders>
            <w:shd w:val="clear" w:color="auto" w:fill="auto"/>
            <w:noWrap/>
            <w:vAlign w:val="center"/>
            <w:hideMark/>
          </w:tcPr>
          <w:p w14:paraId="2D52CCAD" w14:textId="77777777" w:rsidR="007E5AE9" w:rsidRPr="007E5AE9" w:rsidRDefault="007E5AE9" w:rsidP="007E5AE9">
            <w:pPr>
              <w:spacing w:after="0"/>
              <w:rPr>
                <w:rFonts w:ascii="Calibri" w:hAnsi="Calibri" w:cs="Calibri"/>
                <w:color w:val="000000"/>
                <w:lang w:val="en-US"/>
              </w:rPr>
            </w:pPr>
            <w:r w:rsidRPr="007E5AE9">
              <w:rPr>
                <w:rFonts w:ascii="Calibri" w:hAnsi="Calibri" w:cs="Calibri"/>
                <w:color w:val="000000"/>
                <w:lang w:val="en-US"/>
              </w:rPr>
              <w:t>UL signal power at gNB (dBm)</w:t>
            </w:r>
          </w:p>
        </w:tc>
        <w:tc>
          <w:tcPr>
            <w:tcW w:w="1300" w:type="dxa"/>
            <w:tcBorders>
              <w:top w:val="nil"/>
              <w:left w:val="nil"/>
              <w:bottom w:val="single" w:sz="4" w:space="0" w:color="auto"/>
              <w:right w:val="single" w:sz="4" w:space="0" w:color="auto"/>
            </w:tcBorders>
            <w:shd w:val="clear" w:color="auto" w:fill="auto"/>
            <w:noWrap/>
            <w:vAlign w:val="center"/>
            <w:hideMark/>
          </w:tcPr>
          <w:p w14:paraId="5C82CCA8"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-70</w:t>
            </w:r>
          </w:p>
        </w:tc>
        <w:tc>
          <w:tcPr>
            <w:tcW w:w="1300" w:type="dxa"/>
            <w:tcBorders>
              <w:top w:val="nil"/>
              <w:left w:val="nil"/>
              <w:bottom w:val="single" w:sz="4" w:space="0" w:color="auto"/>
              <w:right w:val="single" w:sz="4" w:space="0" w:color="auto"/>
            </w:tcBorders>
            <w:shd w:val="clear" w:color="auto" w:fill="auto"/>
            <w:noWrap/>
            <w:vAlign w:val="center"/>
            <w:hideMark/>
          </w:tcPr>
          <w:p w14:paraId="20F231A2"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-65</w:t>
            </w:r>
          </w:p>
        </w:tc>
        <w:tc>
          <w:tcPr>
            <w:tcW w:w="1300" w:type="dxa"/>
            <w:tcBorders>
              <w:top w:val="nil"/>
              <w:left w:val="nil"/>
              <w:bottom w:val="single" w:sz="4" w:space="0" w:color="auto"/>
              <w:right w:val="single" w:sz="8" w:space="0" w:color="auto"/>
            </w:tcBorders>
            <w:shd w:val="clear" w:color="auto" w:fill="auto"/>
            <w:noWrap/>
            <w:vAlign w:val="center"/>
            <w:hideMark/>
          </w:tcPr>
          <w:p w14:paraId="0666DD36"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-65</w:t>
            </w:r>
          </w:p>
        </w:tc>
      </w:tr>
      <w:tr w:rsidR="007E5AE9" w:rsidRPr="007E5AE9" w14:paraId="301FEC8D" w14:textId="77777777" w:rsidTr="007E5AE9">
        <w:trPr>
          <w:trHeight w:val="340"/>
          <w:jc w:val="center"/>
        </w:trPr>
        <w:tc>
          <w:tcPr>
            <w:tcW w:w="3280" w:type="dxa"/>
            <w:tcBorders>
              <w:top w:val="nil"/>
              <w:left w:val="single" w:sz="8" w:space="0" w:color="auto"/>
              <w:bottom w:val="single" w:sz="8" w:space="0" w:color="auto"/>
              <w:right w:val="single" w:sz="4" w:space="0" w:color="auto"/>
            </w:tcBorders>
            <w:shd w:val="clear" w:color="auto" w:fill="auto"/>
            <w:noWrap/>
            <w:vAlign w:val="center"/>
            <w:hideMark/>
          </w:tcPr>
          <w:p w14:paraId="61ACD9E6" w14:textId="77777777" w:rsidR="007E5AE9" w:rsidRPr="007E5AE9" w:rsidRDefault="007E5AE9" w:rsidP="007E5AE9">
            <w:pPr>
              <w:spacing w:after="0"/>
              <w:rPr>
                <w:rFonts w:ascii="Calibri" w:hAnsi="Calibri" w:cs="Calibri"/>
                <w:color w:val="000000"/>
                <w:lang w:val="en-US"/>
              </w:rPr>
            </w:pPr>
            <w:r w:rsidRPr="007E5AE9">
              <w:rPr>
                <w:rFonts w:ascii="Calibri" w:hAnsi="Calibri" w:cs="Calibri"/>
                <w:color w:val="000000"/>
                <w:lang w:val="en-US"/>
              </w:rPr>
              <w:t>Power reduction required (dB)</w:t>
            </w:r>
          </w:p>
        </w:tc>
        <w:tc>
          <w:tcPr>
            <w:tcW w:w="1300" w:type="dxa"/>
            <w:tcBorders>
              <w:top w:val="nil"/>
              <w:left w:val="nil"/>
              <w:bottom w:val="single" w:sz="8" w:space="0" w:color="auto"/>
              <w:right w:val="single" w:sz="4" w:space="0" w:color="auto"/>
            </w:tcBorders>
            <w:shd w:val="clear" w:color="auto" w:fill="auto"/>
            <w:noWrap/>
            <w:vAlign w:val="center"/>
            <w:hideMark/>
          </w:tcPr>
          <w:p w14:paraId="3F303B73"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35</w:t>
            </w:r>
          </w:p>
        </w:tc>
        <w:tc>
          <w:tcPr>
            <w:tcW w:w="1300" w:type="dxa"/>
            <w:tcBorders>
              <w:top w:val="nil"/>
              <w:left w:val="nil"/>
              <w:bottom w:val="single" w:sz="8" w:space="0" w:color="auto"/>
              <w:right w:val="single" w:sz="4" w:space="0" w:color="auto"/>
            </w:tcBorders>
            <w:shd w:val="clear" w:color="auto" w:fill="auto"/>
            <w:noWrap/>
            <w:vAlign w:val="center"/>
            <w:hideMark/>
          </w:tcPr>
          <w:p w14:paraId="38657E06"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5</w:t>
            </w:r>
          </w:p>
        </w:tc>
        <w:tc>
          <w:tcPr>
            <w:tcW w:w="1300" w:type="dxa"/>
            <w:tcBorders>
              <w:top w:val="nil"/>
              <w:left w:val="nil"/>
              <w:bottom w:val="single" w:sz="8" w:space="0" w:color="auto"/>
              <w:right w:val="single" w:sz="8" w:space="0" w:color="auto"/>
            </w:tcBorders>
            <w:shd w:val="clear" w:color="auto" w:fill="auto"/>
            <w:noWrap/>
            <w:vAlign w:val="center"/>
            <w:hideMark/>
          </w:tcPr>
          <w:p w14:paraId="28A07E74" w14:textId="77777777" w:rsidR="007E5AE9" w:rsidRPr="007E5AE9" w:rsidRDefault="007E5AE9" w:rsidP="007E5AE9">
            <w:pPr>
              <w:spacing w:after="0"/>
              <w:jc w:val="center"/>
              <w:rPr>
                <w:rFonts w:ascii="Calibri" w:hAnsi="Calibri" w:cs="Calibri"/>
                <w:color w:val="000000"/>
                <w:lang w:val="en-US"/>
              </w:rPr>
            </w:pPr>
            <w:r w:rsidRPr="007E5AE9">
              <w:rPr>
                <w:rFonts w:ascii="Calibri" w:hAnsi="Calibri" w:cs="Calibri"/>
                <w:color w:val="000000"/>
                <w:lang w:val="en-US"/>
              </w:rPr>
              <w:t>-9</w:t>
            </w:r>
          </w:p>
        </w:tc>
      </w:tr>
    </w:tbl>
    <w:p w14:paraId="38288113" w14:textId="77777777" w:rsidR="007E5AE9" w:rsidRDefault="007E5AE9" w:rsidP="007E5AE9">
      <w:pPr>
        <w:spacing w:after="0"/>
        <w:jc w:val="both"/>
        <w:rPr>
          <w:rFonts w:ascii="Arial" w:hAnsi="Arial" w:cs="Arial"/>
        </w:rPr>
      </w:pPr>
    </w:p>
    <w:p w14:paraId="7DA78E91" w14:textId="0D49C031" w:rsidR="0041733B" w:rsidRDefault="007E5AE9" w:rsidP="007E5AE9">
      <w:pPr>
        <w:spacing w:after="120"/>
        <w:jc w:val="center"/>
        <w:rPr>
          <w:rFonts w:ascii="Arial" w:hAnsi="Arial" w:cs="Arial"/>
        </w:rPr>
      </w:pPr>
      <w:r>
        <w:rPr>
          <w:rFonts w:ascii="Arial" w:hAnsi="Arial" w:cs="Arial"/>
          <w:b/>
        </w:rPr>
        <w:t>Table 2-1 Estimation of required power back-off from P</w:t>
      </w:r>
      <w:r w:rsidRPr="007E5AE9">
        <w:rPr>
          <w:rFonts w:ascii="Arial" w:hAnsi="Arial" w:cs="Arial"/>
          <w:b/>
          <w:vertAlign w:val="subscript"/>
        </w:rPr>
        <w:t>CMAX</w:t>
      </w:r>
      <w:r>
        <w:rPr>
          <w:rFonts w:ascii="Arial" w:hAnsi="Arial" w:cs="Arial"/>
          <w:b/>
        </w:rPr>
        <w:t xml:space="preserve"> to achieve 25dB SNR at gNB receiver </w:t>
      </w:r>
    </w:p>
    <w:p w14:paraId="6AC17105" w14:textId="1A19C24E" w:rsidR="0041733B" w:rsidRDefault="0041733B" w:rsidP="0041733B">
      <w:pPr>
        <w:spacing w:after="0"/>
        <w:jc w:val="both"/>
        <w:rPr>
          <w:rFonts w:ascii="Arial" w:hAnsi="Arial" w:cs="Arial"/>
        </w:rPr>
      </w:pPr>
    </w:p>
    <w:p w14:paraId="2EB9348F" w14:textId="77777777" w:rsidR="007E5AE9" w:rsidRDefault="007E5AE9" w:rsidP="000A0C3B">
      <w:pPr>
        <w:spacing w:after="120"/>
        <w:jc w:val="both"/>
        <w:rPr>
          <w:rFonts w:ascii="Arial" w:hAnsi="Arial" w:cs="Arial"/>
        </w:rPr>
      </w:pPr>
      <w:r>
        <w:rPr>
          <w:rFonts w:ascii="Arial" w:hAnsi="Arial" w:cs="Arial"/>
        </w:rPr>
        <w:t>It can be seen that at 60GHz operating frequency, the required power back-off from P</w:t>
      </w:r>
      <w:r w:rsidRPr="007E5AE9">
        <w:rPr>
          <w:rFonts w:ascii="Arial" w:hAnsi="Arial" w:cs="Arial"/>
          <w:vertAlign w:val="subscript"/>
        </w:rPr>
        <w:t>CMAX</w:t>
      </w:r>
      <w:r>
        <w:rPr>
          <w:rFonts w:ascii="Arial" w:hAnsi="Arial" w:cs="Arial"/>
        </w:rPr>
        <w:t xml:space="preserve"> is a negative value which means UE would always operate at P</w:t>
      </w:r>
      <w:r w:rsidRPr="007E5AE9">
        <w:rPr>
          <w:rFonts w:ascii="Arial" w:hAnsi="Arial" w:cs="Arial"/>
          <w:vertAlign w:val="subscript"/>
        </w:rPr>
        <w:t>CMAX</w:t>
      </w:r>
      <w:r>
        <w:rPr>
          <w:rFonts w:ascii="Arial" w:hAnsi="Arial" w:cs="Arial"/>
        </w:rPr>
        <w:t xml:space="preserve"> and UL TPC is essentially not required. Though this estimation only represents one particular operating scenario and the required power back-off for 60 GHz may turn into a positive value if we reduce the channel BW and communication distance as well as the SNR target, in our view it would not make much sense to downscale the UL channel BW and lower the SNR target just for the sake of allowing UE to back off its UL power which may have the benefit of power saving. On the other hand, having UE operating at P</w:t>
      </w:r>
      <w:r w:rsidRPr="007E5AE9">
        <w:rPr>
          <w:rFonts w:ascii="Arial" w:hAnsi="Arial" w:cs="Arial"/>
          <w:vertAlign w:val="subscript"/>
        </w:rPr>
        <w:t>CMAX</w:t>
      </w:r>
      <w:r>
        <w:rPr>
          <w:rFonts w:ascii="Arial" w:hAnsi="Arial" w:cs="Arial"/>
        </w:rPr>
        <w:t xml:space="preserve"> with maximum available channel BW over a short burst time could save more power than using narrower channel BW at a back-off power over a longer burst time as PA efficiency usually peaks at maximum output power.</w:t>
      </w:r>
    </w:p>
    <w:p w14:paraId="40677F0D" w14:textId="77777777" w:rsidR="007E5AE9" w:rsidRDefault="007E5AE9" w:rsidP="007E5AE9">
      <w:pPr>
        <w:spacing w:after="0"/>
        <w:jc w:val="both"/>
        <w:rPr>
          <w:rFonts w:ascii="Arial" w:hAnsi="Arial" w:cs="Arial"/>
        </w:rPr>
      </w:pPr>
    </w:p>
    <w:p w14:paraId="216BE110" w14:textId="0AA86172" w:rsidR="007E5AE9" w:rsidRPr="007E5AE9" w:rsidRDefault="007E5AE9" w:rsidP="000A0C3B">
      <w:pPr>
        <w:spacing w:after="120"/>
        <w:jc w:val="both"/>
        <w:rPr>
          <w:rFonts w:ascii="Arial" w:hAnsi="Arial" w:cs="Arial"/>
          <w:i/>
          <w:iCs/>
        </w:rPr>
      </w:pPr>
      <w:r w:rsidRPr="007E5AE9">
        <w:rPr>
          <w:rFonts w:ascii="Arial" w:hAnsi="Arial" w:cs="Arial"/>
          <w:b/>
          <w:bCs/>
          <w:i/>
          <w:iCs/>
        </w:rPr>
        <w:t>Observation 2</w:t>
      </w:r>
      <w:r w:rsidRPr="007E5AE9">
        <w:rPr>
          <w:rFonts w:ascii="Arial" w:hAnsi="Arial" w:cs="Arial"/>
          <w:i/>
          <w:iCs/>
        </w:rPr>
        <w:t>: UE at 60</w:t>
      </w:r>
      <w:r>
        <w:rPr>
          <w:rFonts w:ascii="Arial" w:hAnsi="Arial" w:cs="Arial"/>
          <w:i/>
          <w:iCs/>
        </w:rPr>
        <w:t xml:space="preserve"> </w:t>
      </w:r>
      <w:r w:rsidRPr="007E5AE9">
        <w:rPr>
          <w:rFonts w:ascii="Arial" w:hAnsi="Arial" w:cs="Arial"/>
          <w:i/>
          <w:iCs/>
        </w:rPr>
        <w:t>GHz and above frequency ranges may always operate at P</w:t>
      </w:r>
      <w:r w:rsidRPr="007E5AE9">
        <w:rPr>
          <w:rFonts w:ascii="Arial" w:hAnsi="Arial" w:cs="Arial"/>
          <w:i/>
          <w:iCs/>
          <w:vertAlign w:val="subscript"/>
        </w:rPr>
        <w:t>CMAX</w:t>
      </w:r>
      <w:r w:rsidRPr="007E5AE9">
        <w:rPr>
          <w:rFonts w:ascii="Arial" w:hAnsi="Arial" w:cs="Arial"/>
          <w:i/>
          <w:iCs/>
        </w:rPr>
        <w:t xml:space="preserve"> in order to achieve the desired SNR at gNB receiver.</w:t>
      </w:r>
    </w:p>
    <w:p w14:paraId="1BB8269F" w14:textId="77777777" w:rsidR="007E5AE9" w:rsidRDefault="007E5AE9" w:rsidP="007E5AE9">
      <w:pPr>
        <w:spacing w:after="0"/>
        <w:jc w:val="both"/>
        <w:rPr>
          <w:rFonts w:ascii="Arial" w:hAnsi="Arial" w:cs="Arial"/>
        </w:rPr>
      </w:pPr>
    </w:p>
    <w:p w14:paraId="1E03A85C" w14:textId="77777777" w:rsidR="007E5AE9" w:rsidRPr="007E5AE9" w:rsidRDefault="007E5AE9" w:rsidP="000A0C3B">
      <w:pPr>
        <w:spacing w:after="120"/>
        <w:jc w:val="both"/>
        <w:rPr>
          <w:rFonts w:ascii="Arial" w:hAnsi="Arial" w:cs="Arial"/>
          <w:i/>
          <w:iCs/>
        </w:rPr>
      </w:pPr>
      <w:r w:rsidRPr="007E5AE9">
        <w:rPr>
          <w:rFonts w:ascii="Arial" w:hAnsi="Arial" w:cs="Arial"/>
          <w:b/>
          <w:bCs/>
          <w:i/>
          <w:iCs/>
        </w:rPr>
        <w:t>Observation 3</w:t>
      </w:r>
      <w:r w:rsidRPr="007E5AE9">
        <w:rPr>
          <w:rFonts w:ascii="Arial" w:hAnsi="Arial" w:cs="Arial"/>
          <w:i/>
          <w:iCs/>
        </w:rPr>
        <w:t>: It would not make much sense to downscale the UL channel BW and lower the SNR target at gNB receiver just for the sake of allowing UE to back off its UL power which may have the benefit of power saving.</w:t>
      </w:r>
    </w:p>
    <w:p w14:paraId="05ABC884" w14:textId="77777777" w:rsidR="007E5AE9" w:rsidRDefault="007E5AE9" w:rsidP="007E5AE9">
      <w:pPr>
        <w:spacing w:after="0"/>
        <w:jc w:val="both"/>
        <w:rPr>
          <w:rFonts w:ascii="Arial" w:hAnsi="Arial" w:cs="Arial"/>
        </w:rPr>
      </w:pPr>
    </w:p>
    <w:p w14:paraId="4E74FDEF" w14:textId="19EAA2B4" w:rsidR="0041733B" w:rsidRPr="007E5AE9" w:rsidRDefault="007E5AE9" w:rsidP="000A0C3B">
      <w:pPr>
        <w:spacing w:after="120"/>
        <w:jc w:val="both"/>
        <w:rPr>
          <w:rFonts w:ascii="Arial" w:hAnsi="Arial" w:cs="Arial"/>
          <w:i/>
          <w:iCs/>
        </w:rPr>
      </w:pPr>
      <w:r w:rsidRPr="007E5AE9">
        <w:rPr>
          <w:rFonts w:ascii="Arial" w:hAnsi="Arial" w:cs="Arial"/>
          <w:b/>
          <w:bCs/>
          <w:i/>
          <w:iCs/>
        </w:rPr>
        <w:t>Observation 4</w:t>
      </w:r>
      <w:r w:rsidRPr="007E5AE9">
        <w:rPr>
          <w:rFonts w:ascii="Arial" w:hAnsi="Arial" w:cs="Arial"/>
          <w:i/>
          <w:iCs/>
        </w:rPr>
        <w:t xml:space="preserve">: </w:t>
      </w:r>
      <w:r>
        <w:rPr>
          <w:rFonts w:ascii="Arial" w:hAnsi="Arial" w:cs="Arial"/>
          <w:i/>
          <w:iCs/>
        </w:rPr>
        <w:t>H</w:t>
      </w:r>
      <w:r w:rsidRPr="007E5AE9">
        <w:rPr>
          <w:rFonts w:ascii="Arial" w:hAnsi="Arial" w:cs="Arial"/>
          <w:i/>
          <w:iCs/>
        </w:rPr>
        <w:t>aving UE operating at P</w:t>
      </w:r>
      <w:r w:rsidRPr="007E5AE9">
        <w:rPr>
          <w:rFonts w:ascii="Arial" w:hAnsi="Arial" w:cs="Arial"/>
          <w:i/>
          <w:iCs/>
          <w:vertAlign w:val="subscript"/>
        </w:rPr>
        <w:t>CMAX</w:t>
      </w:r>
      <w:r w:rsidRPr="007E5AE9">
        <w:rPr>
          <w:rFonts w:ascii="Arial" w:hAnsi="Arial" w:cs="Arial"/>
          <w:i/>
          <w:iCs/>
        </w:rPr>
        <w:t xml:space="preserve"> with maximum available channel BW over a short burst time could save more power than using narrower channel BW at a back-off power over a longer burst time as PA efficiency usually peaks at maximum output power.    </w:t>
      </w:r>
    </w:p>
    <w:p w14:paraId="71184DE7" w14:textId="77777777" w:rsidR="0041733B" w:rsidRDefault="0041733B" w:rsidP="0041733B">
      <w:pPr>
        <w:spacing w:after="0"/>
        <w:jc w:val="both"/>
        <w:rPr>
          <w:rFonts w:ascii="Arial" w:hAnsi="Arial" w:cs="Arial"/>
        </w:rPr>
      </w:pPr>
    </w:p>
    <w:p w14:paraId="2368A8A0" w14:textId="1751F7F7" w:rsidR="0041733B" w:rsidRDefault="007E5AE9" w:rsidP="0041733B">
      <w:pPr>
        <w:spacing w:after="120"/>
        <w:jc w:val="both"/>
        <w:rPr>
          <w:rFonts w:ascii="Arial" w:hAnsi="Arial" w:cs="Arial"/>
        </w:rPr>
      </w:pPr>
      <w:r>
        <w:rPr>
          <w:rFonts w:ascii="Arial" w:eastAsia="SimSun" w:hAnsi="Arial" w:cs="Arial"/>
          <w:lang w:eastAsia="zh-CN"/>
        </w:rPr>
        <w:t xml:space="preserve">Based on the above assessment, we think there is an opportunity for NR network operation at 60 GHz and above frequency ranges without the need of UL TPC which could bring substantial benefits on simplifying network operation for UL radio control as well as reducing UE transmitter design complexity. Therefore, we propose to include the scope of feasibility on UL TPC omission in the newly approved WID </w:t>
      </w:r>
      <w:r>
        <w:rPr>
          <w:rFonts w:ascii="Arial" w:hAnsi="Arial" w:cs="Arial"/>
        </w:rPr>
        <w:t>on extending current NR operation to 71 GHz [2].</w:t>
      </w:r>
    </w:p>
    <w:p w14:paraId="5A2DC65E" w14:textId="7DF6B24A" w:rsidR="007E5AE9" w:rsidRDefault="007E5AE9" w:rsidP="007E5AE9">
      <w:pPr>
        <w:spacing w:after="0"/>
        <w:jc w:val="both"/>
        <w:rPr>
          <w:rFonts w:ascii="Arial" w:hAnsi="Arial" w:cs="Arial"/>
        </w:rPr>
      </w:pPr>
    </w:p>
    <w:p w14:paraId="7C22B731" w14:textId="34760719" w:rsidR="007E5AE9" w:rsidRPr="007E5AE9" w:rsidRDefault="007E5AE9" w:rsidP="0041733B">
      <w:pPr>
        <w:spacing w:after="120"/>
        <w:jc w:val="both"/>
        <w:rPr>
          <w:rFonts w:ascii="Arial" w:eastAsia="SimSun" w:hAnsi="Arial" w:cs="Arial"/>
          <w:i/>
          <w:iCs/>
          <w:lang w:eastAsia="zh-CN"/>
        </w:rPr>
      </w:pPr>
      <w:r w:rsidRPr="007E5AE9">
        <w:rPr>
          <w:rFonts w:ascii="Arial" w:hAnsi="Arial" w:cs="Arial"/>
          <w:b/>
          <w:bCs/>
          <w:i/>
          <w:iCs/>
        </w:rPr>
        <w:t>Proposal</w:t>
      </w:r>
      <w:r w:rsidRPr="007E5AE9">
        <w:rPr>
          <w:rFonts w:ascii="Arial" w:hAnsi="Arial" w:cs="Arial"/>
          <w:i/>
          <w:iCs/>
        </w:rPr>
        <w:t xml:space="preserve">: To include the scope of feasibility on UL TPC omission in the </w:t>
      </w:r>
      <w:r w:rsidRPr="007E5AE9">
        <w:rPr>
          <w:rFonts w:ascii="Arial" w:eastAsia="SimSun" w:hAnsi="Arial" w:cs="Arial"/>
          <w:i/>
          <w:iCs/>
          <w:lang w:eastAsia="zh-CN"/>
        </w:rPr>
        <w:t xml:space="preserve">newly approved WID </w:t>
      </w:r>
      <w:r w:rsidRPr="007E5AE9">
        <w:rPr>
          <w:rFonts w:ascii="Arial" w:hAnsi="Arial" w:cs="Arial"/>
          <w:i/>
          <w:iCs/>
        </w:rPr>
        <w:t>on extending current NR operation to 71 GHz</w:t>
      </w:r>
    </w:p>
    <w:p w14:paraId="79E3145A" w14:textId="77777777" w:rsidR="002D61E3" w:rsidRPr="0041733B" w:rsidRDefault="002D61E3" w:rsidP="002D61E3">
      <w:pPr>
        <w:spacing w:after="0"/>
        <w:jc w:val="both"/>
        <w:rPr>
          <w:rFonts w:ascii="Arial" w:hAnsi="Arial" w:cs="Arial"/>
        </w:rPr>
      </w:pPr>
    </w:p>
    <w:p w14:paraId="34C99636" w14:textId="288D14AC" w:rsidR="008E7986" w:rsidRDefault="008E7986" w:rsidP="008E7986">
      <w:pPr>
        <w:pStyle w:val="Heading1"/>
      </w:pPr>
      <w:r>
        <w:t>3</w:t>
      </w:r>
      <w:r>
        <w:tab/>
        <w:t>Conclusion</w:t>
      </w:r>
    </w:p>
    <w:p w14:paraId="673660DA" w14:textId="77777777" w:rsidR="004768DA" w:rsidRDefault="004768DA" w:rsidP="004768DA">
      <w:pPr>
        <w:spacing w:after="0"/>
        <w:jc w:val="both"/>
        <w:rPr>
          <w:rFonts w:ascii="Arial" w:hAnsi="Arial" w:cs="Arial"/>
        </w:rPr>
      </w:pPr>
    </w:p>
    <w:p w14:paraId="04AEBBF8" w14:textId="2F8C8ED5" w:rsidR="006D7B72" w:rsidRDefault="007E5AE9" w:rsidP="00C358C6">
      <w:pPr>
        <w:spacing w:after="120"/>
        <w:jc w:val="both"/>
        <w:rPr>
          <w:rFonts w:ascii="Arial" w:hAnsi="Arial" w:cs="Arial"/>
        </w:rPr>
      </w:pPr>
      <w:r>
        <w:rPr>
          <w:rFonts w:ascii="Arial" w:hAnsi="Arial" w:cs="Arial"/>
        </w:rPr>
        <w:lastRenderedPageBreak/>
        <w:t xml:space="preserve">In this contribution, we share our views on why UL TPC for 60 GHz and above frequency ranges may potentially be omitted and propose to include the scope of feasibility on UL TPC omission in the </w:t>
      </w:r>
      <w:r>
        <w:rPr>
          <w:rFonts w:ascii="Arial" w:eastAsia="SimSun" w:hAnsi="Arial" w:cs="Arial"/>
          <w:lang w:eastAsia="zh-CN"/>
        </w:rPr>
        <w:t xml:space="preserve">newly approved WID </w:t>
      </w:r>
      <w:r>
        <w:rPr>
          <w:rFonts w:ascii="Arial" w:hAnsi="Arial" w:cs="Arial"/>
        </w:rPr>
        <w:t>on extending current NR operation to 71 GHz.</w:t>
      </w:r>
    </w:p>
    <w:p w14:paraId="14D23446" w14:textId="5907B7B2" w:rsidR="006D7B72" w:rsidRDefault="006D7B72" w:rsidP="00886D52">
      <w:pPr>
        <w:spacing w:after="0"/>
        <w:jc w:val="both"/>
        <w:rPr>
          <w:rFonts w:ascii="Arial" w:hAnsi="Arial" w:cs="Arial"/>
        </w:rPr>
      </w:pPr>
    </w:p>
    <w:p w14:paraId="181F0E78" w14:textId="1B15DEB2" w:rsidR="00886D52" w:rsidRDefault="00886D52" w:rsidP="00886D52">
      <w:pPr>
        <w:spacing w:after="120"/>
        <w:jc w:val="both"/>
        <w:rPr>
          <w:rFonts w:ascii="Arial" w:hAnsi="Arial" w:cs="Arial"/>
          <w:i/>
          <w:iCs/>
        </w:rPr>
      </w:pPr>
      <w:r w:rsidRPr="007E5AE9">
        <w:rPr>
          <w:rFonts w:ascii="Arial" w:hAnsi="Arial" w:cs="Arial"/>
          <w:b/>
          <w:bCs/>
          <w:i/>
          <w:iCs/>
        </w:rPr>
        <w:t>Observation 1</w:t>
      </w:r>
      <w:r w:rsidRPr="007E5AE9">
        <w:rPr>
          <w:rFonts w:ascii="Arial" w:hAnsi="Arial" w:cs="Arial"/>
          <w:i/>
          <w:iCs/>
        </w:rPr>
        <w:t>: UE UL dynamic range is seen decreasing over increasing operati</w:t>
      </w:r>
      <w:r>
        <w:rPr>
          <w:rFonts w:ascii="Arial" w:hAnsi="Arial" w:cs="Arial"/>
          <w:i/>
          <w:iCs/>
        </w:rPr>
        <w:t>on</w:t>
      </w:r>
      <w:r w:rsidRPr="007E5AE9">
        <w:rPr>
          <w:rFonts w:ascii="Arial" w:hAnsi="Arial" w:cs="Arial"/>
          <w:i/>
          <w:iCs/>
        </w:rPr>
        <w:t xml:space="preserve"> frequency.</w:t>
      </w:r>
    </w:p>
    <w:p w14:paraId="310D2097" w14:textId="4C02107C" w:rsidR="00886D52" w:rsidRPr="00886D52" w:rsidRDefault="00886D52" w:rsidP="00886D52">
      <w:pPr>
        <w:spacing w:after="0"/>
        <w:jc w:val="both"/>
        <w:rPr>
          <w:rFonts w:ascii="Arial" w:hAnsi="Arial" w:cs="Arial"/>
        </w:rPr>
      </w:pPr>
    </w:p>
    <w:p w14:paraId="15E92884" w14:textId="77777777" w:rsidR="00886D52" w:rsidRPr="007E5AE9" w:rsidRDefault="00886D52" w:rsidP="00886D52">
      <w:pPr>
        <w:spacing w:after="120"/>
        <w:jc w:val="both"/>
        <w:rPr>
          <w:rFonts w:ascii="Arial" w:hAnsi="Arial" w:cs="Arial"/>
          <w:i/>
          <w:iCs/>
        </w:rPr>
      </w:pPr>
      <w:r w:rsidRPr="007E5AE9">
        <w:rPr>
          <w:rFonts w:ascii="Arial" w:hAnsi="Arial" w:cs="Arial"/>
          <w:b/>
          <w:bCs/>
          <w:i/>
          <w:iCs/>
        </w:rPr>
        <w:t>Observation 2</w:t>
      </w:r>
      <w:r w:rsidRPr="007E5AE9">
        <w:rPr>
          <w:rFonts w:ascii="Arial" w:hAnsi="Arial" w:cs="Arial"/>
          <w:i/>
          <w:iCs/>
        </w:rPr>
        <w:t>: UE at 60</w:t>
      </w:r>
      <w:r>
        <w:rPr>
          <w:rFonts w:ascii="Arial" w:hAnsi="Arial" w:cs="Arial"/>
          <w:i/>
          <w:iCs/>
        </w:rPr>
        <w:t xml:space="preserve"> </w:t>
      </w:r>
      <w:r w:rsidRPr="007E5AE9">
        <w:rPr>
          <w:rFonts w:ascii="Arial" w:hAnsi="Arial" w:cs="Arial"/>
          <w:i/>
          <w:iCs/>
        </w:rPr>
        <w:t>GHz and above frequency ranges may always operate at P</w:t>
      </w:r>
      <w:r w:rsidRPr="007E5AE9">
        <w:rPr>
          <w:rFonts w:ascii="Arial" w:hAnsi="Arial" w:cs="Arial"/>
          <w:i/>
          <w:iCs/>
          <w:vertAlign w:val="subscript"/>
        </w:rPr>
        <w:t>CMAX</w:t>
      </w:r>
      <w:r w:rsidRPr="007E5AE9">
        <w:rPr>
          <w:rFonts w:ascii="Arial" w:hAnsi="Arial" w:cs="Arial"/>
          <w:i/>
          <w:iCs/>
        </w:rPr>
        <w:t xml:space="preserve"> in order to achieve the desired SNR at gNB receiver.</w:t>
      </w:r>
    </w:p>
    <w:p w14:paraId="2CC4029B" w14:textId="77777777" w:rsidR="00886D52" w:rsidRDefault="00886D52" w:rsidP="00886D52">
      <w:pPr>
        <w:spacing w:after="0"/>
        <w:jc w:val="both"/>
        <w:rPr>
          <w:rFonts w:ascii="Arial" w:hAnsi="Arial" w:cs="Arial"/>
        </w:rPr>
      </w:pPr>
    </w:p>
    <w:p w14:paraId="76A4C60D" w14:textId="77777777" w:rsidR="00886D52" w:rsidRPr="007E5AE9" w:rsidRDefault="00886D52" w:rsidP="00886D52">
      <w:pPr>
        <w:spacing w:after="120"/>
        <w:jc w:val="both"/>
        <w:rPr>
          <w:rFonts w:ascii="Arial" w:hAnsi="Arial" w:cs="Arial"/>
          <w:i/>
          <w:iCs/>
        </w:rPr>
      </w:pPr>
      <w:r w:rsidRPr="007E5AE9">
        <w:rPr>
          <w:rFonts w:ascii="Arial" w:hAnsi="Arial" w:cs="Arial"/>
          <w:b/>
          <w:bCs/>
          <w:i/>
          <w:iCs/>
        </w:rPr>
        <w:t>Observation 3</w:t>
      </w:r>
      <w:r w:rsidRPr="007E5AE9">
        <w:rPr>
          <w:rFonts w:ascii="Arial" w:hAnsi="Arial" w:cs="Arial"/>
          <w:i/>
          <w:iCs/>
        </w:rPr>
        <w:t>: It would not make much sense to downscale the UL channel BW and lower the SNR target at gNB receiver just for the sake of allowing UE to back off its UL power which may have the benefit of power saving.</w:t>
      </w:r>
    </w:p>
    <w:p w14:paraId="2A4EE772" w14:textId="77777777" w:rsidR="00886D52" w:rsidRDefault="00886D52" w:rsidP="00886D52">
      <w:pPr>
        <w:spacing w:after="0"/>
        <w:jc w:val="both"/>
        <w:rPr>
          <w:rFonts w:ascii="Arial" w:hAnsi="Arial" w:cs="Arial"/>
        </w:rPr>
      </w:pPr>
    </w:p>
    <w:p w14:paraId="063F3EAA" w14:textId="3CA33A04" w:rsidR="00886D52" w:rsidRDefault="00886D52" w:rsidP="00886D52">
      <w:pPr>
        <w:spacing w:after="120"/>
        <w:jc w:val="both"/>
        <w:rPr>
          <w:rFonts w:ascii="Arial" w:hAnsi="Arial" w:cs="Arial"/>
          <w:i/>
          <w:iCs/>
        </w:rPr>
      </w:pPr>
      <w:r w:rsidRPr="007E5AE9">
        <w:rPr>
          <w:rFonts w:ascii="Arial" w:hAnsi="Arial" w:cs="Arial"/>
          <w:b/>
          <w:bCs/>
          <w:i/>
          <w:iCs/>
        </w:rPr>
        <w:t>Observation 4</w:t>
      </w:r>
      <w:r w:rsidRPr="007E5AE9">
        <w:rPr>
          <w:rFonts w:ascii="Arial" w:hAnsi="Arial" w:cs="Arial"/>
          <w:i/>
          <w:iCs/>
        </w:rPr>
        <w:t xml:space="preserve">: </w:t>
      </w:r>
      <w:r>
        <w:rPr>
          <w:rFonts w:ascii="Arial" w:hAnsi="Arial" w:cs="Arial"/>
          <w:i/>
          <w:iCs/>
        </w:rPr>
        <w:t>H</w:t>
      </w:r>
      <w:r w:rsidRPr="007E5AE9">
        <w:rPr>
          <w:rFonts w:ascii="Arial" w:hAnsi="Arial" w:cs="Arial"/>
          <w:i/>
          <w:iCs/>
        </w:rPr>
        <w:t>aving UE operating at P</w:t>
      </w:r>
      <w:r w:rsidRPr="007E5AE9">
        <w:rPr>
          <w:rFonts w:ascii="Arial" w:hAnsi="Arial" w:cs="Arial"/>
          <w:i/>
          <w:iCs/>
          <w:vertAlign w:val="subscript"/>
        </w:rPr>
        <w:t>CMAX</w:t>
      </w:r>
      <w:r w:rsidRPr="007E5AE9">
        <w:rPr>
          <w:rFonts w:ascii="Arial" w:hAnsi="Arial" w:cs="Arial"/>
          <w:i/>
          <w:iCs/>
        </w:rPr>
        <w:t xml:space="preserve"> with maximum available channel BW over a short burst time could save more power than using narrower channel BW at a back-off power over a longer burst time as PA efficiency usually peaks at maximum output power.</w:t>
      </w:r>
    </w:p>
    <w:p w14:paraId="5CF591A7" w14:textId="5B48BCBD" w:rsidR="00886D52" w:rsidRPr="00886D52" w:rsidRDefault="00886D52" w:rsidP="00886D52">
      <w:pPr>
        <w:spacing w:after="0"/>
        <w:jc w:val="both"/>
        <w:rPr>
          <w:rFonts w:ascii="Arial" w:hAnsi="Arial" w:cs="Arial"/>
        </w:rPr>
      </w:pPr>
    </w:p>
    <w:p w14:paraId="107D859D" w14:textId="32A71DBD" w:rsidR="00886D52" w:rsidRDefault="00886D52" w:rsidP="00886D52">
      <w:pPr>
        <w:spacing w:after="120"/>
        <w:jc w:val="both"/>
        <w:rPr>
          <w:rFonts w:ascii="Arial" w:hAnsi="Arial" w:cs="Arial"/>
          <w:i/>
          <w:iCs/>
        </w:rPr>
      </w:pPr>
      <w:r w:rsidRPr="007E5AE9">
        <w:rPr>
          <w:rFonts w:ascii="Arial" w:hAnsi="Arial" w:cs="Arial"/>
          <w:b/>
          <w:bCs/>
          <w:i/>
          <w:iCs/>
        </w:rPr>
        <w:t>Proposal</w:t>
      </w:r>
      <w:r w:rsidRPr="007E5AE9">
        <w:rPr>
          <w:rFonts w:ascii="Arial" w:hAnsi="Arial" w:cs="Arial"/>
          <w:i/>
          <w:iCs/>
        </w:rPr>
        <w:t xml:space="preserve">: To include the scope of feasibility on UL TPC omission in the </w:t>
      </w:r>
      <w:r w:rsidRPr="007E5AE9">
        <w:rPr>
          <w:rFonts w:ascii="Arial" w:eastAsia="SimSun" w:hAnsi="Arial" w:cs="Arial"/>
          <w:i/>
          <w:iCs/>
          <w:lang w:eastAsia="zh-CN"/>
        </w:rPr>
        <w:t xml:space="preserve">newly approved WID </w:t>
      </w:r>
      <w:r w:rsidRPr="007E5AE9">
        <w:rPr>
          <w:rFonts w:ascii="Arial" w:hAnsi="Arial" w:cs="Arial"/>
          <w:i/>
          <w:iCs/>
        </w:rPr>
        <w:t>on extending current NR operation to 71 GHz</w:t>
      </w:r>
    </w:p>
    <w:p w14:paraId="502CA876" w14:textId="77777777" w:rsidR="00886D52" w:rsidRPr="00886D52" w:rsidRDefault="00886D52" w:rsidP="00886D52">
      <w:pPr>
        <w:spacing w:after="0"/>
        <w:jc w:val="both"/>
        <w:rPr>
          <w:rFonts w:ascii="Arial" w:hAnsi="Arial" w:cs="Arial"/>
        </w:rPr>
      </w:pPr>
    </w:p>
    <w:p w14:paraId="5D2DDC34" w14:textId="62AA5838" w:rsidR="005E69AE" w:rsidRDefault="005E69AE" w:rsidP="005E69AE">
      <w:pPr>
        <w:pStyle w:val="Heading1"/>
      </w:pPr>
      <w:r>
        <w:t>4</w:t>
      </w:r>
      <w:r>
        <w:tab/>
        <w:t>References</w:t>
      </w:r>
    </w:p>
    <w:p w14:paraId="3C074039" w14:textId="77777777" w:rsidR="004768DA" w:rsidRPr="004768DA" w:rsidRDefault="004768DA" w:rsidP="004768DA">
      <w:pPr>
        <w:spacing w:after="0"/>
      </w:pPr>
    </w:p>
    <w:bookmarkEnd w:id="0"/>
    <w:p w14:paraId="08C5B690" w14:textId="4F0955FB" w:rsidR="002675F0" w:rsidRDefault="00772FB5" w:rsidP="008F626A">
      <w:pPr>
        <w:pStyle w:val="EX"/>
        <w:jc w:val="both"/>
        <w:rPr>
          <w:rFonts w:ascii="Arial" w:hAnsi="Arial" w:cs="Arial"/>
        </w:rPr>
      </w:pPr>
      <w:r w:rsidRPr="00772FB5">
        <w:rPr>
          <w:rFonts w:ascii="Arial" w:hAnsi="Arial" w:cs="Arial"/>
        </w:rPr>
        <w:t>RP-200902 “Revised SID: Study on supporting NR from 52.6GHz to 71”, Intel Corporation, 3GPP TSG RAN Meeting #88</w:t>
      </w:r>
      <w:r>
        <w:rPr>
          <w:rFonts w:ascii="Arial" w:hAnsi="Arial" w:cs="Arial"/>
        </w:rPr>
        <w:t>-</w:t>
      </w:r>
      <w:r w:rsidRPr="00772FB5">
        <w:rPr>
          <w:rFonts w:ascii="Arial" w:hAnsi="Arial" w:cs="Arial"/>
        </w:rPr>
        <w:t>e, June 29</w:t>
      </w:r>
      <w:r w:rsidRPr="00772FB5">
        <w:rPr>
          <w:rFonts w:ascii="Arial" w:hAnsi="Arial" w:cs="Arial"/>
          <w:vertAlign w:val="superscript"/>
        </w:rPr>
        <w:t>th</w:t>
      </w:r>
      <w:r w:rsidRPr="00772FB5">
        <w:rPr>
          <w:rFonts w:ascii="Arial" w:hAnsi="Arial" w:cs="Arial"/>
        </w:rPr>
        <w:t xml:space="preserve"> – July 3</w:t>
      </w:r>
      <w:r w:rsidRPr="00772FB5">
        <w:rPr>
          <w:rFonts w:ascii="Arial" w:hAnsi="Arial" w:cs="Arial"/>
          <w:vertAlign w:val="superscript"/>
        </w:rPr>
        <w:t>rd</w:t>
      </w:r>
      <w:r w:rsidRPr="00772FB5">
        <w:rPr>
          <w:rFonts w:ascii="Arial" w:hAnsi="Arial" w:cs="Arial"/>
        </w:rPr>
        <w:t>, 2020</w:t>
      </w:r>
    </w:p>
    <w:p w14:paraId="67C2CA75" w14:textId="6A995653" w:rsidR="008F626A" w:rsidRDefault="008F626A" w:rsidP="008F626A">
      <w:pPr>
        <w:pStyle w:val="EX"/>
        <w:jc w:val="both"/>
        <w:rPr>
          <w:rFonts w:ascii="Arial" w:hAnsi="Arial" w:cs="Arial"/>
        </w:rPr>
      </w:pPr>
      <w:r>
        <w:rPr>
          <w:rFonts w:ascii="Arial" w:hAnsi="Arial" w:cs="Arial"/>
        </w:rPr>
        <w:t>RP-202925 “Revised WID: Extending current NR operation to 71 GHz”, CMCC, 3GPP TSG-RAN Meeting #90-e, December 7</w:t>
      </w:r>
      <w:r w:rsidRPr="008F626A">
        <w:rPr>
          <w:rFonts w:ascii="Arial" w:hAnsi="Arial" w:cs="Arial"/>
          <w:vertAlign w:val="superscript"/>
        </w:rPr>
        <w:t>th</w:t>
      </w:r>
      <w:r>
        <w:rPr>
          <w:rFonts w:ascii="Arial" w:hAnsi="Arial" w:cs="Arial"/>
        </w:rPr>
        <w:t xml:space="preserve"> – 11</w:t>
      </w:r>
      <w:r w:rsidRPr="008F626A">
        <w:rPr>
          <w:rFonts w:ascii="Arial" w:hAnsi="Arial" w:cs="Arial"/>
          <w:vertAlign w:val="superscript"/>
        </w:rPr>
        <w:t>th</w:t>
      </w:r>
      <w:r>
        <w:rPr>
          <w:rFonts w:ascii="Arial" w:hAnsi="Arial" w:cs="Arial"/>
        </w:rPr>
        <w:t>, 2020</w:t>
      </w:r>
    </w:p>
    <w:p w14:paraId="17919B1A" w14:textId="3EC79DE8" w:rsidR="008F626A" w:rsidRPr="0041733B" w:rsidRDefault="008F626A" w:rsidP="008F626A">
      <w:pPr>
        <w:pStyle w:val="EX"/>
        <w:jc w:val="both"/>
        <w:rPr>
          <w:rFonts w:ascii="Arial" w:hAnsi="Arial" w:cs="Arial"/>
        </w:rPr>
      </w:pPr>
      <w:r>
        <w:rPr>
          <w:rFonts w:ascii="Arial" w:hAnsi="Arial" w:cs="Arial"/>
        </w:rPr>
        <w:t>3GPP TS 38.101-2 V17.0.0 (2020-12)</w:t>
      </w:r>
    </w:p>
    <w:sectPr w:rsidR="008F626A" w:rsidRPr="0041733B" w:rsidSect="00114E2C">
      <w:headerReference w:type="default" r:id="rId10"/>
      <w:footerReference w:type="default" r:id="rId11"/>
      <w:footerReference w:type="first" r:id="rId1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B2465A" w14:textId="77777777" w:rsidR="000E5C81" w:rsidRDefault="000E5C81">
      <w:r>
        <w:separator/>
      </w:r>
    </w:p>
  </w:endnote>
  <w:endnote w:type="continuationSeparator" w:id="0">
    <w:p w14:paraId="3A8DFF6B" w14:textId="77777777" w:rsidR="000E5C81" w:rsidRDefault="000E5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766960" w14:textId="77777777" w:rsidR="000E5C81" w:rsidRDefault="000E5C81">
      <w:r>
        <w:separator/>
      </w:r>
    </w:p>
  </w:footnote>
  <w:footnote w:type="continuationSeparator" w:id="0">
    <w:p w14:paraId="753C091E" w14:textId="77777777" w:rsidR="000E5C81" w:rsidRDefault="000E5C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72F2787"/>
    <w:multiLevelType w:val="hybridMultilevel"/>
    <w:tmpl w:val="23D05F0C"/>
    <w:lvl w:ilvl="0" w:tplc="6240897E">
      <w:start w:val="2"/>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8300C6E"/>
    <w:multiLevelType w:val="hybridMultilevel"/>
    <w:tmpl w:val="E3B65A28"/>
    <w:lvl w:ilvl="0" w:tplc="B3DC887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656E5B"/>
    <w:multiLevelType w:val="hybridMultilevel"/>
    <w:tmpl w:val="D748A368"/>
    <w:lvl w:ilvl="0" w:tplc="F89616C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C9A0FFD"/>
    <w:multiLevelType w:val="hybridMultilevel"/>
    <w:tmpl w:val="54827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82E5F34"/>
    <w:multiLevelType w:val="hybridMultilevel"/>
    <w:tmpl w:val="52946EF8"/>
    <w:lvl w:ilvl="0" w:tplc="BC26A4B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2"/>
  </w:num>
  <w:num w:numId="6">
    <w:abstractNumId w:val="2"/>
  </w:num>
  <w:num w:numId="7">
    <w:abstractNumId w:val="7"/>
  </w:num>
  <w:num w:numId="8">
    <w:abstractNumId w:val="3"/>
  </w:num>
  <w:num w:numId="9">
    <w:abstractNumId w:val="8"/>
  </w:num>
  <w:num w:numId="10">
    <w:abstractNumId w:val="4"/>
  </w:num>
  <w:num w:numId="11">
    <w:abstractNumId w:val="5"/>
  </w:num>
  <w:num w:numId="12">
    <w:abstractNumId w:val="10"/>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3D"/>
    <w:rsid w:val="00033397"/>
    <w:rsid w:val="00040095"/>
    <w:rsid w:val="00051834"/>
    <w:rsid w:val="00054529"/>
    <w:rsid w:val="00054A22"/>
    <w:rsid w:val="00062023"/>
    <w:rsid w:val="000655A6"/>
    <w:rsid w:val="0006704A"/>
    <w:rsid w:val="00080512"/>
    <w:rsid w:val="000A0C3B"/>
    <w:rsid w:val="000A365D"/>
    <w:rsid w:val="000A68F3"/>
    <w:rsid w:val="000B61FB"/>
    <w:rsid w:val="000C47C3"/>
    <w:rsid w:val="000D58AB"/>
    <w:rsid w:val="000E1A37"/>
    <w:rsid w:val="000E5C81"/>
    <w:rsid w:val="00104BC6"/>
    <w:rsid w:val="00114E2C"/>
    <w:rsid w:val="00121103"/>
    <w:rsid w:val="00133525"/>
    <w:rsid w:val="0016611C"/>
    <w:rsid w:val="00166B5C"/>
    <w:rsid w:val="00181118"/>
    <w:rsid w:val="001841B1"/>
    <w:rsid w:val="001A410D"/>
    <w:rsid w:val="001A4C42"/>
    <w:rsid w:val="001C21C3"/>
    <w:rsid w:val="001D02C2"/>
    <w:rsid w:val="001D1470"/>
    <w:rsid w:val="001F0C1D"/>
    <w:rsid w:val="001F1132"/>
    <w:rsid w:val="001F168B"/>
    <w:rsid w:val="00204648"/>
    <w:rsid w:val="002347A2"/>
    <w:rsid w:val="002450A4"/>
    <w:rsid w:val="00247926"/>
    <w:rsid w:val="00261B7C"/>
    <w:rsid w:val="0026424E"/>
    <w:rsid w:val="002675F0"/>
    <w:rsid w:val="00276EE4"/>
    <w:rsid w:val="002A2A03"/>
    <w:rsid w:val="002B6339"/>
    <w:rsid w:val="002D61E3"/>
    <w:rsid w:val="002E00EE"/>
    <w:rsid w:val="003172DC"/>
    <w:rsid w:val="0034052F"/>
    <w:rsid w:val="0035462D"/>
    <w:rsid w:val="003765B8"/>
    <w:rsid w:val="003772E9"/>
    <w:rsid w:val="00396C5D"/>
    <w:rsid w:val="003A0483"/>
    <w:rsid w:val="003B56B1"/>
    <w:rsid w:val="003C3971"/>
    <w:rsid w:val="003C6A8C"/>
    <w:rsid w:val="003E7753"/>
    <w:rsid w:val="003F0C6B"/>
    <w:rsid w:val="003F6ACE"/>
    <w:rsid w:val="0041733B"/>
    <w:rsid w:val="00423334"/>
    <w:rsid w:val="004345EC"/>
    <w:rsid w:val="00463240"/>
    <w:rsid w:val="004728B7"/>
    <w:rsid w:val="0047564A"/>
    <w:rsid w:val="00475AC6"/>
    <w:rsid w:val="004768DA"/>
    <w:rsid w:val="004819D5"/>
    <w:rsid w:val="004826A9"/>
    <w:rsid w:val="004A5DB3"/>
    <w:rsid w:val="004B5C7F"/>
    <w:rsid w:val="004C15E6"/>
    <w:rsid w:val="004C1601"/>
    <w:rsid w:val="004D3578"/>
    <w:rsid w:val="004D5ADE"/>
    <w:rsid w:val="004E213A"/>
    <w:rsid w:val="004F0988"/>
    <w:rsid w:val="004F3340"/>
    <w:rsid w:val="004F3E3D"/>
    <w:rsid w:val="004F7DEF"/>
    <w:rsid w:val="0053388B"/>
    <w:rsid w:val="00534BE5"/>
    <w:rsid w:val="00535773"/>
    <w:rsid w:val="00543E6C"/>
    <w:rsid w:val="00565087"/>
    <w:rsid w:val="00572E14"/>
    <w:rsid w:val="00594F57"/>
    <w:rsid w:val="005973BE"/>
    <w:rsid w:val="005A5986"/>
    <w:rsid w:val="005A656C"/>
    <w:rsid w:val="005D2E01"/>
    <w:rsid w:val="005D7526"/>
    <w:rsid w:val="005E69AE"/>
    <w:rsid w:val="00602AEA"/>
    <w:rsid w:val="006073EA"/>
    <w:rsid w:val="00607E3C"/>
    <w:rsid w:val="00614FDF"/>
    <w:rsid w:val="00624566"/>
    <w:rsid w:val="006246A7"/>
    <w:rsid w:val="00625205"/>
    <w:rsid w:val="0062595A"/>
    <w:rsid w:val="0063543D"/>
    <w:rsid w:val="00647114"/>
    <w:rsid w:val="006528E0"/>
    <w:rsid w:val="00662106"/>
    <w:rsid w:val="006A2C3D"/>
    <w:rsid w:val="006A323F"/>
    <w:rsid w:val="006A7137"/>
    <w:rsid w:val="006B30D0"/>
    <w:rsid w:val="006C228A"/>
    <w:rsid w:val="006C3D95"/>
    <w:rsid w:val="006D7B72"/>
    <w:rsid w:val="006E5C86"/>
    <w:rsid w:val="0070556D"/>
    <w:rsid w:val="00713C44"/>
    <w:rsid w:val="00734A5B"/>
    <w:rsid w:val="0074026F"/>
    <w:rsid w:val="007429F6"/>
    <w:rsid w:val="00744E76"/>
    <w:rsid w:val="00752198"/>
    <w:rsid w:val="00753881"/>
    <w:rsid w:val="007551EB"/>
    <w:rsid w:val="00772FB5"/>
    <w:rsid w:val="00774DA4"/>
    <w:rsid w:val="00781F0F"/>
    <w:rsid w:val="007B600E"/>
    <w:rsid w:val="007E5AE9"/>
    <w:rsid w:val="007F0F4A"/>
    <w:rsid w:val="008028A4"/>
    <w:rsid w:val="00820B25"/>
    <w:rsid w:val="00830747"/>
    <w:rsid w:val="008768CA"/>
    <w:rsid w:val="00886D52"/>
    <w:rsid w:val="0089062C"/>
    <w:rsid w:val="008A3527"/>
    <w:rsid w:val="008A5F18"/>
    <w:rsid w:val="008C384C"/>
    <w:rsid w:val="008C494B"/>
    <w:rsid w:val="008E7986"/>
    <w:rsid w:val="008F626A"/>
    <w:rsid w:val="0090271F"/>
    <w:rsid w:val="00902E23"/>
    <w:rsid w:val="0091018D"/>
    <w:rsid w:val="009114D7"/>
    <w:rsid w:val="0091348E"/>
    <w:rsid w:val="00917CCB"/>
    <w:rsid w:val="00921E71"/>
    <w:rsid w:val="00930919"/>
    <w:rsid w:val="00942EC2"/>
    <w:rsid w:val="0094625B"/>
    <w:rsid w:val="00952E04"/>
    <w:rsid w:val="00955390"/>
    <w:rsid w:val="00965947"/>
    <w:rsid w:val="009929FF"/>
    <w:rsid w:val="009B373D"/>
    <w:rsid w:val="009F37B7"/>
    <w:rsid w:val="009F5E43"/>
    <w:rsid w:val="00A06AAF"/>
    <w:rsid w:val="00A10F02"/>
    <w:rsid w:val="00A13BCD"/>
    <w:rsid w:val="00A13C2E"/>
    <w:rsid w:val="00A14D3F"/>
    <w:rsid w:val="00A164B4"/>
    <w:rsid w:val="00A2000D"/>
    <w:rsid w:val="00A20472"/>
    <w:rsid w:val="00A26956"/>
    <w:rsid w:val="00A53724"/>
    <w:rsid w:val="00A625A6"/>
    <w:rsid w:val="00A67816"/>
    <w:rsid w:val="00A7175A"/>
    <w:rsid w:val="00A73129"/>
    <w:rsid w:val="00A75621"/>
    <w:rsid w:val="00A82346"/>
    <w:rsid w:val="00A83518"/>
    <w:rsid w:val="00A92BA1"/>
    <w:rsid w:val="00A942D0"/>
    <w:rsid w:val="00AB5A96"/>
    <w:rsid w:val="00AC0150"/>
    <w:rsid w:val="00AC6BC6"/>
    <w:rsid w:val="00AD5F64"/>
    <w:rsid w:val="00AE3797"/>
    <w:rsid w:val="00AF7AB0"/>
    <w:rsid w:val="00B150E6"/>
    <w:rsid w:val="00B15449"/>
    <w:rsid w:val="00B231E1"/>
    <w:rsid w:val="00B35505"/>
    <w:rsid w:val="00B51CDC"/>
    <w:rsid w:val="00B574A0"/>
    <w:rsid w:val="00B76FBB"/>
    <w:rsid w:val="00B863E2"/>
    <w:rsid w:val="00B93086"/>
    <w:rsid w:val="00BA19ED"/>
    <w:rsid w:val="00BA300B"/>
    <w:rsid w:val="00BA4B8D"/>
    <w:rsid w:val="00BC0F7D"/>
    <w:rsid w:val="00BE3255"/>
    <w:rsid w:val="00BF128E"/>
    <w:rsid w:val="00BF4C3B"/>
    <w:rsid w:val="00C1496A"/>
    <w:rsid w:val="00C33079"/>
    <w:rsid w:val="00C358C6"/>
    <w:rsid w:val="00C45231"/>
    <w:rsid w:val="00C54C23"/>
    <w:rsid w:val="00C575E9"/>
    <w:rsid w:val="00C71DA1"/>
    <w:rsid w:val="00C72833"/>
    <w:rsid w:val="00C80F1D"/>
    <w:rsid w:val="00C87227"/>
    <w:rsid w:val="00C93F40"/>
    <w:rsid w:val="00CA3D0C"/>
    <w:rsid w:val="00CE2F48"/>
    <w:rsid w:val="00CE6DD7"/>
    <w:rsid w:val="00CF20E3"/>
    <w:rsid w:val="00CF65B5"/>
    <w:rsid w:val="00D03C06"/>
    <w:rsid w:val="00D309CC"/>
    <w:rsid w:val="00D463D6"/>
    <w:rsid w:val="00D46431"/>
    <w:rsid w:val="00D56A52"/>
    <w:rsid w:val="00D57972"/>
    <w:rsid w:val="00D675A9"/>
    <w:rsid w:val="00D738D6"/>
    <w:rsid w:val="00D755EB"/>
    <w:rsid w:val="00D8507E"/>
    <w:rsid w:val="00D87E00"/>
    <w:rsid w:val="00D9134D"/>
    <w:rsid w:val="00DA7A03"/>
    <w:rsid w:val="00DB1818"/>
    <w:rsid w:val="00DB4052"/>
    <w:rsid w:val="00DB79F7"/>
    <w:rsid w:val="00DC309B"/>
    <w:rsid w:val="00DC4DA2"/>
    <w:rsid w:val="00DD4C17"/>
    <w:rsid w:val="00DF2B1F"/>
    <w:rsid w:val="00DF6189"/>
    <w:rsid w:val="00DF62CD"/>
    <w:rsid w:val="00E16509"/>
    <w:rsid w:val="00E2413E"/>
    <w:rsid w:val="00E44582"/>
    <w:rsid w:val="00E52814"/>
    <w:rsid w:val="00E64596"/>
    <w:rsid w:val="00E72324"/>
    <w:rsid w:val="00E72ABE"/>
    <w:rsid w:val="00E74333"/>
    <w:rsid w:val="00E77645"/>
    <w:rsid w:val="00EC4847"/>
    <w:rsid w:val="00EC4A25"/>
    <w:rsid w:val="00EC55DC"/>
    <w:rsid w:val="00ED21B2"/>
    <w:rsid w:val="00EE5AA7"/>
    <w:rsid w:val="00EF70F3"/>
    <w:rsid w:val="00F025A2"/>
    <w:rsid w:val="00F04712"/>
    <w:rsid w:val="00F06F13"/>
    <w:rsid w:val="00F10C13"/>
    <w:rsid w:val="00F21311"/>
    <w:rsid w:val="00F22EC7"/>
    <w:rsid w:val="00F325C8"/>
    <w:rsid w:val="00F62AEB"/>
    <w:rsid w:val="00F653B8"/>
    <w:rsid w:val="00F70647"/>
    <w:rsid w:val="00F7495C"/>
    <w:rsid w:val="00F87D29"/>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basedOn w:val="Normal"/>
    <w:uiPriority w:val="34"/>
    <w:qFormat/>
    <w:rsid w:val="00E64596"/>
    <w:pPr>
      <w:ind w:left="720"/>
      <w:contextualSpacing/>
    </w:pPr>
  </w:style>
  <w:style w:type="character" w:customStyle="1" w:styleId="B1Char">
    <w:name w:val="B1 Char"/>
    <w:link w:val="B1"/>
    <w:qFormat/>
    <w:locked/>
    <w:rsid w:val="0089062C"/>
    <w:rPr>
      <w:lang w:eastAsia="en-US"/>
    </w:rPr>
  </w:style>
  <w:style w:type="character" w:customStyle="1" w:styleId="TACChar">
    <w:name w:val="TAC Char"/>
    <w:link w:val="TAC"/>
    <w:qFormat/>
    <w:rsid w:val="00CE2F48"/>
    <w:rPr>
      <w:rFonts w:ascii="Arial" w:hAnsi="Arial"/>
      <w:sz w:val="18"/>
      <w:lang w:eastAsia="en-US"/>
    </w:rPr>
  </w:style>
  <w:style w:type="character" w:customStyle="1" w:styleId="TAHCar">
    <w:name w:val="TAH Car"/>
    <w:link w:val="TAH"/>
    <w:qFormat/>
    <w:rsid w:val="00CE2F48"/>
    <w:rPr>
      <w:rFonts w:ascii="Arial" w:hAnsi="Arial"/>
      <w:b/>
      <w:sz w:val="18"/>
      <w:lang w:eastAsia="en-US"/>
    </w:rPr>
  </w:style>
  <w:style w:type="character" w:customStyle="1" w:styleId="TANChar">
    <w:name w:val="TAN Char"/>
    <w:link w:val="TAN"/>
    <w:qFormat/>
    <w:rsid w:val="00CE2F48"/>
    <w:rPr>
      <w:rFonts w:ascii="Arial" w:hAnsi="Arial"/>
      <w:sz w:val="18"/>
      <w:lang w:eastAsia="en-US"/>
    </w:rPr>
  </w:style>
  <w:style w:type="character" w:customStyle="1" w:styleId="THChar">
    <w:name w:val="TH Char"/>
    <w:link w:val="TH"/>
    <w:qFormat/>
    <w:rsid w:val="00A67816"/>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0148821">
      <w:bodyDiv w:val="1"/>
      <w:marLeft w:val="0"/>
      <w:marRight w:val="0"/>
      <w:marTop w:val="0"/>
      <w:marBottom w:val="0"/>
      <w:divBdr>
        <w:top w:val="none" w:sz="0" w:space="0" w:color="auto"/>
        <w:left w:val="none" w:sz="0" w:space="0" w:color="auto"/>
        <w:bottom w:val="none" w:sz="0" w:space="0" w:color="auto"/>
        <w:right w:val="none" w:sz="0" w:space="0" w:color="auto"/>
      </w:divBdr>
    </w:div>
    <w:div w:id="684982426">
      <w:bodyDiv w:val="1"/>
      <w:marLeft w:val="0"/>
      <w:marRight w:val="0"/>
      <w:marTop w:val="0"/>
      <w:marBottom w:val="0"/>
      <w:divBdr>
        <w:top w:val="none" w:sz="0" w:space="0" w:color="auto"/>
        <w:left w:val="none" w:sz="0" w:space="0" w:color="auto"/>
        <w:bottom w:val="none" w:sz="0" w:space="0" w:color="auto"/>
        <w:right w:val="none" w:sz="0" w:space="0" w:color="auto"/>
      </w:divBdr>
    </w:div>
    <w:div w:id="749160226">
      <w:bodyDiv w:val="1"/>
      <w:marLeft w:val="0"/>
      <w:marRight w:val="0"/>
      <w:marTop w:val="0"/>
      <w:marBottom w:val="0"/>
      <w:divBdr>
        <w:top w:val="none" w:sz="0" w:space="0" w:color="auto"/>
        <w:left w:val="none" w:sz="0" w:space="0" w:color="auto"/>
        <w:bottom w:val="none" w:sz="0" w:space="0" w:color="auto"/>
        <w:right w:val="none" w:sz="0" w:space="0" w:color="auto"/>
      </w:divBdr>
    </w:div>
    <w:div w:id="935134205">
      <w:bodyDiv w:val="1"/>
      <w:marLeft w:val="0"/>
      <w:marRight w:val="0"/>
      <w:marTop w:val="0"/>
      <w:marBottom w:val="0"/>
      <w:divBdr>
        <w:top w:val="none" w:sz="0" w:space="0" w:color="auto"/>
        <w:left w:val="none" w:sz="0" w:space="0" w:color="auto"/>
        <w:bottom w:val="none" w:sz="0" w:space="0" w:color="auto"/>
        <w:right w:val="none" w:sz="0" w:space="0" w:color="auto"/>
      </w:divBdr>
    </w:div>
    <w:div w:id="1147015931">
      <w:bodyDiv w:val="1"/>
      <w:marLeft w:val="0"/>
      <w:marRight w:val="0"/>
      <w:marTop w:val="0"/>
      <w:marBottom w:val="0"/>
      <w:divBdr>
        <w:top w:val="none" w:sz="0" w:space="0" w:color="auto"/>
        <w:left w:val="none" w:sz="0" w:space="0" w:color="auto"/>
        <w:bottom w:val="none" w:sz="0" w:space="0" w:color="auto"/>
        <w:right w:val="none" w:sz="0" w:space="0" w:color="auto"/>
      </w:divBdr>
    </w:div>
    <w:div w:id="1294601897">
      <w:bodyDiv w:val="1"/>
      <w:marLeft w:val="0"/>
      <w:marRight w:val="0"/>
      <w:marTop w:val="0"/>
      <w:marBottom w:val="0"/>
      <w:divBdr>
        <w:top w:val="none" w:sz="0" w:space="0" w:color="auto"/>
        <w:left w:val="none" w:sz="0" w:space="0" w:color="auto"/>
        <w:bottom w:val="none" w:sz="0" w:space="0" w:color="auto"/>
        <w:right w:val="none" w:sz="0" w:space="0" w:color="auto"/>
      </w:divBdr>
    </w:div>
    <w:div w:id="1808357648">
      <w:bodyDiv w:val="1"/>
      <w:marLeft w:val="0"/>
      <w:marRight w:val="0"/>
      <w:marTop w:val="0"/>
      <w:marBottom w:val="0"/>
      <w:divBdr>
        <w:top w:val="none" w:sz="0" w:space="0" w:color="auto"/>
        <w:left w:val="none" w:sz="0" w:space="0" w:color="auto"/>
        <w:bottom w:val="none" w:sz="0" w:space="0" w:color="auto"/>
        <w:right w:val="none" w:sz="0" w:space="0" w:color="auto"/>
      </w:divBdr>
    </w:div>
    <w:div w:id="1985039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1659FF-BD01-5745-9B04-8C3B24D6F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3</Pages>
  <Words>1004</Words>
  <Characters>5725</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6716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James Wang</cp:lastModifiedBy>
  <cp:revision>2</cp:revision>
  <cp:lastPrinted>2019-02-25T14:05:00Z</cp:lastPrinted>
  <dcterms:created xsi:type="dcterms:W3CDTF">2021-01-15T20:40:00Z</dcterms:created>
  <dcterms:modified xsi:type="dcterms:W3CDTF">2021-01-15T20:40:00Z</dcterms:modified>
  <cp:category/>
</cp:coreProperties>
</file>